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344605" w14:textId="77777777" w:rsidR="001E5F56" w:rsidRDefault="001E5F56" w:rsidP="446B1E7C">
      <w:pPr>
        <w:jc w:val="both"/>
        <w:rPr>
          <w:b/>
          <w:sz w:val="36"/>
          <w:szCs w:val="36"/>
        </w:rPr>
      </w:pPr>
    </w:p>
    <w:p w14:paraId="464F7410" w14:textId="4C24F0BC" w:rsidR="00826EA8" w:rsidRDefault="00576661" w:rsidP="446B1E7C">
      <w:pPr>
        <w:jc w:val="both"/>
        <w:rPr>
          <w:b/>
          <w:sz w:val="36"/>
          <w:szCs w:val="36"/>
        </w:rPr>
      </w:pPr>
      <w:r>
        <w:rPr>
          <w:b/>
          <w:sz w:val="36"/>
          <w:szCs w:val="36"/>
        </w:rPr>
        <w:t>Quality c</w:t>
      </w:r>
      <w:r w:rsidR="00071F35">
        <w:rPr>
          <w:b/>
          <w:sz w:val="36"/>
          <w:szCs w:val="36"/>
        </w:rPr>
        <w:t xml:space="preserve">riteria </w:t>
      </w:r>
      <w:r w:rsidR="001817B6">
        <w:rPr>
          <w:b/>
          <w:sz w:val="36"/>
          <w:szCs w:val="36"/>
        </w:rPr>
        <w:t xml:space="preserve">for </w:t>
      </w:r>
      <w:r w:rsidR="00071F35">
        <w:rPr>
          <w:b/>
          <w:sz w:val="36"/>
          <w:szCs w:val="36"/>
        </w:rPr>
        <w:t>Early Action Protocol</w:t>
      </w:r>
      <w:r w:rsidR="001817B6">
        <w:rPr>
          <w:b/>
          <w:sz w:val="36"/>
          <w:szCs w:val="36"/>
        </w:rPr>
        <w:t>s</w:t>
      </w:r>
      <w:r w:rsidR="00071F35">
        <w:rPr>
          <w:b/>
          <w:sz w:val="36"/>
          <w:szCs w:val="36"/>
        </w:rPr>
        <w:t xml:space="preserve"> </w:t>
      </w:r>
    </w:p>
    <w:p w14:paraId="712459FC" w14:textId="5F5056BD" w:rsidR="00826EA8" w:rsidRDefault="070F36AB" w:rsidP="002444A5">
      <w:pPr>
        <w:jc w:val="both"/>
        <w:rPr>
          <w:sz w:val="28"/>
          <w:szCs w:val="28"/>
        </w:rPr>
      </w:pPr>
      <w:r w:rsidRPr="446B1E7C">
        <w:rPr>
          <w:sz w:val="28"/>
          <w:szCs w:val="28"/>
        </w:rPr>
        <w:t xml:space="preserve">The </w:t>
      </w:r>
      <w:r w:rsidR="7E8F1401" w:rsidRPr="446B1E7C">
        <w:rPr>
          <w:sz w:val="28"/>
          <w:szCs w:val="28"/>
        </w:rPr>
        <w:t xml:space="preserve">following </w:t>
      </w:r>
      <w:r w:rsidR="3D0C73FD" w:rsidRPr="446B1E7C">
        <w:rPr>
          <w:sz w:val="28"/>
          <w:szCs w:val="28"/>
        </w:rPr>
        <w:t xml:space="preserve">quality </w:t>
      </w:r>
      <w:r w:rsidRPr="446B1E7C">
        <w:rPr>
          <w:sz w:val="28"/>
          <w:szCs w:val="28"/>
        </w:rPr>
        <w:t>criteria are</w:t>
      </w:r>
      <w:r w:rsidR="00071F35">
        <w:rPr>
          <w:sz w:val="28"/>
          <w:szCs w:val="28"/>
        </w:rPr>
        <w:t xml:space="preserve"> used by the IFRC </w:t>
      </w:r>
      <w:r w:rsidR="5655A187" w:rsidRPr="446B1E7C">
        <w:rPr>
          <w:sz w:val="28"/>
          <w:szCs w:val="28"/>
        </w:rPr>
        <w:t>V</w:t>
      </w:r>
      <w:r w:rsidR="32D79C72" w:rsidRPr="446B1E7C">
        <w:rPr>
          <w:sz w:val="28"/>
          <w:szCs w:val="28"/>
        </w:rPr>
        <w:t xml:space="preserve">alidation </w:t>
      </w:r>
      <w:r w:rsidR="20C768C5" w:rsidRPr="446B1E7C">
        <w:rPr>
          <w:sz w:val="28"/>
          <w:szCs w:val="28"/>
        </w:rPr>
        <w:t>C</w:t>
      </w:r>
      <w:r w:rsidR="32D79C72" w:rsidRPr="446B1E7C">
        <w:rPr>
          <w:sz w:val="28"/>
          <w:szCs w:val="28"/>
        </w:rPr>
        <w:t xml:space="preserve">ommittee </w:t>
      </w:r>
      <w:r w:rsidR="15A18286" w:rsidRPr="446B1E7C">
        <w:rPr>
          <w:sz w:val="28"/>
          <w:szCs w:val="28"/>
        </w:rPr>
        <w:t>as a benchmark</w:t>
      </w:r>
      <w:r w:rsidR="00071F35">
        <w:rPr>
          <w:sz w:val="28"/>
          <w:szCs w:val="28"/>
        </w:rPr>
        <w:t xml:space="preserve"> to determine if </w:t>
      </w:r>
      <w:r w:rsidR="7BB0B02C" w:rsidRPr="446B1E7C">
        <w:rPr>
          <w:sz w:val="28"/>
          <w:szCs w:val="28"/>
        </w:rPr>
        <w:t>the Early Action Protocol</w:t>
      </w:r>
      <w:r w:rsidR="004E3E7B">
        <w:rPr>
          <w:rStyle w:val="FootnoteReference"/>
          <w:sz w:val="28"/>
          <w:szCs w:val="28"/>
        </w:rPr>
        <w:footnoteReference w:id="2"/>
      </w:r>
      <w:r w:rsidR="00071F35">
        <w:rPr>
          <w:sz w:val="28"/>
          <w:szCs w:val="28"/>
        </w:rPr>
        <w:t xml:space="preserve"> is eligible to be funded by </w:t>
      </w:r>
      <w:r w:rsidR="003F4B2F">
        <w:rPr>
          <w:sz w:val="28"/>
          <w:szCs w:val="28"/>
        </w:rPr>
        <w:t>the DREF</w:t>
      </w:r>
      <w:r w:rsidR="00071F35">
        <w:rPr>
          <w:sz w:val="28"/>
          <w:szCs w:val="28"/>
        </w:rPr>
        <w:t xml:space="preserve">. </w:t>
      </w:r>
      <w:r w:rsidR="377A5270" w:rsidRPr="446B1E7C">
        <w:rPr>
          <w:sz w:val="28"/>
          <w:szCs w:val="28"/>
        </w:rPr>
        <w:t xml:space="preserve">The ‘comments’ column gives further </w:t>
      </w:r>
      <w:r w:rsidR="37B9B046" w:rsidRPr="446B1E7C">
        <w:rPr>
          <w:sz w:val="28"/>
          <w:szCs w:val="28"/>
        </w:rPr>
        <w:t xml:space="preserve">guidance which should be </w:t>
      </w:r>
      <w:r w:rsidR="5156F64D" w:rsidRPr="446B1E7C">
        <w:rPr>
          <w:sz w:val="28"/>
          <w:szCs w:val="28"/>
        </w:rPr>
        <w:t>consider</w:t>
      </w:r>
      <w:r w:rsidR="0D3CF020" w:rsidRPr="446B1E7C">
        <w:rPr>
          <w:sz w:val="28"/>
          <w:szCs w:val="28"/>
        </w:rPr>
        <w:t xml:space="preserve">ed in relation to each of the criteria. </w:t>
      </w:r>
      <w:r w:rsidR="61754530" w:rsidRPr="446B1E7C">
        <w:rPr>
          <w:sz w:val="28"/>
          <w:szCs w:val="28"/>
        </w:rPr>
        <w:t>If any of the criteria are not adequately met</w:t>
      </w:r>
      <w:r w:rsidR="335F9AC9" w:rsidRPr="446B1E7C">
        <w:rPr>
          <w:sz w:val="28"/>
          <w:szCs w:val="28"/>
        </w:rPr>
        <w:t xml:space="preserve"> or just partially met</w:t>
      </w:r>
      <w:r w:rsidR="61754530" w:rsidRPr="446B1E7C">
        <w:rPr>
          <w:sz w:val="28"/>
          <w:szCs w:val="28"/>
        </w:rPr>
        <w:t>, t</w:t>
      </w:r>
      <w:r w:rsidR="0D3CF020" w:rsidRPr="446B1E7C">
        <w:rPr>
          <w:sz w:val="28"/>
          <w:szCs w:val="28"/>
        </w:rPr>
        <w:t xml:space="preserve">he Validation </w:t>
      </w:r>
      <w:r w:rsidR="00C678F5" w:rsidRPr="446B1E7C">
        <w:rPr>
          <w:sz w:val="28"/>
          <w:szCs w:val="28"/>
        </w:rPr>
        <w:t>Committee</w:t>
      </w:r>
      <w:r w:rsidR="0D3CF020" w:rsidRPr="446B1E7C">
        <w:rPr>
          <w:sz w:val="28"/>
          <w:szCs w:val="28"/>
        </w:rPr>
        <w:t xml:space="preserve"> m</w:t>
      </w:r>
      <w:r w:rsidR="760BA71F" w:rsidRPr="446B1E7C">
        <w:rPr>
          <w:sz w:val="28"/>
          <w:szCs w:val="28"/>
        </w:rPr>
        <w:t xml:space="preserve">ay require </w:t>
      </w:r>
      <w:r w:rsidR="4DA0C621" w:rsidRPr="446B1E7C">
        <w:rPr>
          <w:sz w:val="28"/>
          <w:szCs w:val="28"/>
        </w:rPr>
        <w:t xml:space="preserve">further information or additional work to </w:t>
      </w:r>
      <w:r w:rsidR="08337CA6" w:rsidRPr="446B1E7C">
        <w:rPr>
          <w:sz w:val="28"/>
          <w:szCs w:val="28"/>
        </w:rPr>
        <w:t>demonstrate</w:t>
      </w:r>
      <w:r w:rsidR="4DA0C621" w:rsidRPr="446B1E7C">
        <w:rPr>
          <w:sz w:val="28"/>
          <w:szCs w:val="28"/>
        </w:rPr>
        <w:t xml:space="preserve"> that the criteria </w:t>
      </w:r>
      <w:r w:rsidR="007B68CD">
        <w:rPr>
          <w:sz w:val="28"/>
          <w:szCs w:val="28"/>
        </w:rPr>
        <w:t>are</w:t>
      </w:r>
      <w:r w:rsidR="731D1C33" w:rsidRPr="446B1E7C">
        <w:rPr>
          <w:sz w:val="28"/>
          <w:szCs w:val="28"/>
        </w:rPr>
        <w:t xml:space="preserve"> </w:t>
      </w:r>
      <w:r w:rsidR="7686BC0D" w:rsidRPr="446B1E7C">
        <w:rPr>
          <w:sz w:val="28"/>
          <w:szCs w:val="28"/>
        </w:rPr>
        <w:t>justified.</w:t>
      </w:r>
      <w:r w:rsidR="4DA0C621" w:rsidRPr="446B1E7C">
        <w:rPr>
          <w:sz w:val="28"/>
          <w:szCs w:val="28"/>
        </w:rPr>
        <w:t xml:space="preserve">  </w:t>
      </w:r>
      <w:r w:rsidR="377A5270" w:rsidRPr="446B1E7C">
        <w:rPr>
          <w:sz w:val="28"/>
          <w:szCs w:val="28"/>
        </w:rPr>
        <w:t xml:space="preserve"> </w:t>
      </w:r>
    </w:p>
    <w:p w14:paraId="1416BA2D" w14:textId="77777777" w:rsidR="00826EA8" w:rsidRDefault="00826EA8">
      <w:pPr>
        <w:rPr>
          <w:color w:val="351C75"/>
          <w:sz w:val="28"/>
          <w:szCs w:val="28"/>
        </w:rPr>
      </w:pPr>
    </w:p>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511"/>
        <w:gridCol w:w="8788"/>
      </w:tblGrid>
      <w:tr w:rsidR="0056265E" w14:paraId="24477700" w14:textId="77777777" w:rsidTr="6A72DC1B">
        <w:tc>
          <w:tcPr>
            <w:tcW w:w="6511" w:type="dxa"/>
            <w:shd w:val="clear" w:color="auto" w:fill="000000" w:themeFill="text1"/>
            <w:tcMar>
              <w:top w:w="100" w:type="dxa"/>
              <w:left w:w="100" w:type="dxa"/>
              <w:bottom w:w="100" w:type="dxa"/>
              <w:right w:w="100" w:type="dxa"/>
            </w:tcMar>
          </w:tcPr>
          <w:p w14:paraId="46F11B93" w14:textId="1994ACB2" w:rsidR="0056265E" w:rsidRPr="000C49D7" w:rsidRDefault="0056265E">
            <w:pPr>
              <w:widowControl w:val="0"/>
              <w:spacing w:line="240" w:lineRule="auto"/>
              <w:rPr>
                <w:color w:val="FFFFFF" w:themeColor="background1"/>
                <w:sz w:val="28"/>
                <w:szCs w:val="28"/>
              </w:rPr>
            </w:pPr>
            <w:r w:rsidRPr="000C49D7">
              <w:rPr>
                <w:b/>
                <w:color w:val="FFFFFF" w:themeColor="background1"/>
                <w:sz w:val="24"/>
                <w:szCs w:val="24"/>
              </w:rPr>
              <w:t xml:space="preserve"> </w:t>
            </w:r>
            <w:r w:rsidR="00B7646E" w:rsidRPr="000C49D7">
              <w:rPr>
                <w:color w:val="FFFFFF" w:themeColor="background1"/>
                <w:sz w:val="28"/>
                <w:szCs w:val="28"/>
              </w:rPr>
              <w:t>Risk analysis</w:t>
            </w:r>
            <w:r w:rsidRPr="000C49D7">
              <w:rPr>
                <w:color w:val="FFFFFF" w:themeColor="background1"/>
                <w:sz w:val="28"/>
                <w:szCs w:val="28"/>
              </w:rPr>
              <w:t xml:space="preserve"> </w:t>
            </w:r>
            <w:r w:rsidRPr="000C49D7">
              <w:rPr>
                <w:color w:val="FFFFFF" w:themeColor="background1"/>
                <w:sz w:val="28"/>
                <w:szCs w:val="28"/>
                <w:lang w:val="en-US"/>
              </w:rPr>
              <w:t xml:space="preserve">and </w:t>
            </w:r>
            <w:r w:rsidRPr="000C49D7">
              <w:rPr>
                <w:color w:val="FFFFFF" w:themeColor="background1"/>
                <w:sz w:val="28"/>
                <w:szCs w:val="28"/>
              </w:rPr>
              <w:t>Trigger Model</w:t>
            </w:r>
          </w:p>
        </w:tc>
        <w:tc>
          <w:tcPr>
            <w:tcW w:w="8788" w:type="dxa"/>
            <w:shd w:val="clear" w:color="auto" w:fill="000000" w:themeFill="text1"/>
          </w:tcPr>
          <w:p w14:paraId="2ABBBE54" w14:textId="77777777" w:rsidR="0056265E" w:rsidRPr="000C49D7" w:rsidRDefault="0056265E">
            <w:pPr>
              <w:widowControl w:val="0"/>
              <w:spacing w:line="240" w:lineRule="auto"/>
              <w:rPr>
                <w:color w:val="FFFFFF" w:themeColor="background1"/>
                <w:sz w:val="28"/>
                <w:szCs w:val="28"/>
              </w:rPr>
            </w:pPr>
            <w:r w:rsidRPr="000C49D7">
              <w:rPr>
                <w:color w:val="FFFFFF" w:themeColor="background1"/>
                <w:sz w:val="28"/>
                <w:szCs w:val="28"/>
              </w:rPr>
              <w:t>Comments</w:t>
            </w:r>
          </w:p>
        </w:tc>
      </w:tr>
      <w:tr w:rsidR="0007035E" w14:paraId="3ED45F7E" w14:textId="77777777" w:rsidTr="6A72DC1B">
        <w:tc>
          <w:tcPr>
            <w:tcW w:w="6511" w:type="dxa"/>
            <w:shd w:val="clear" w:color="auto" w:fill="auto"/>
            <w:tcMar>
              <w:top w:w="100" w:type="dxa"/>
              <w:left w:w="100" w:type="dxa"/>
              <w:bottom w:w="100" w:type="dxa"/>
              <w:right w:w="100" w:type="dxa"/>
            </w:tcMar>
          </w:tcPr>
          <w:p w14:paraId="63D8823F" w14:textId="0567C438" w:rsidR="0007035E" w:rsidRPr="00C21031" w:rsidRDefault="0007035E" w:rsidP="0007035E">
            <w:pPr>
              <w:widowControl w:val="0"/>
              <w:spacing w:line="240" w:lineRule="auto"/>
            </w:pPr>
            <w:r>
              <w:t xml:space="preserve">The EAP triggers are based on a combination of the analysis of risk factors and the forecast in line with the steps of the </w:t>
            </w:r>
            <w:hyperlink r:id="rId11">
              <w:r w:rsidRPr="0753BF62">
                <w:rPr>
                  <w:rStyle w:val="Hyperlink"/>
                </w:rPr>
                <w:t>trigger methodology</w:t>
              </w:r>
            </w:hyperlink>
            <w:r>
              <w:t xml:space="preserve"> outlined in the FbF manual. The EAP contains a clear trigger statement</w:t>
            </w:r>
            <w:r w:rsidRPr="4A435ECE">
              <w:t xml:space="preserve"> </w:t>
            </w:r>
          </w:p>
          <w:p w14:paraId="77423827" w14:textId="4BEB2B41" w:rsidR="0007035E" w:rsidRPr="00C21031" w:rsidRDefault="0007035E" w:rsidP="0007035E">
            <w:pPr>
              <w:widowControl w:val="0"/>
              <w:spacing w:line="240" w:lineRule="auto"/>
              <w:rPr>
                <w:b/>
              </w:rPr>
            </w:pPr>
            <w:r w:rsidRPr="0753BF62">
              <w:rPr>
                <w:b/>
              </w:rPr>
              <w:t>(Section 3 EAP Template – Risk Analysis and Section 4.1 - Trigger Statement)</w:t>
            </w:r>
          </w:p>
          <w:p w14:paraId="723E6165" w14:textId="77777777" w:rsidR="0007035E" w:rsidRDefault="0007035E" w:rsidP="0007035E">
            <w:pPr>
              <w:widowControl w:val="0"/>
              <w:spacing w:line="240" w:lineRule="auto"/>
              <w:rPr>
                <w:b/>
                <w:sz w:val="24"/>
                <w:szCs w:val="24"/>
              </w:rPr>
            </w:pPr>
          </w:p>
        </w:tc>
        <w:tc>
          <w:tcPr>
            <w:tcW w:w="8788" w:type="dxa"/>
            <w:shd w:val="clear" w:color="auto" w:fill="auto"/>
          </w:tcPr>
          <w:p w14:paraId="42712CB3" w14:textId="77777777" w:rsidR="0007035E" w:rsidRDefault="0007035E" w:rsidP="0007035E">
            <w:pPr>
              <w:widowControl w:val="0"/>
              <w:spacing w:line="240" w:lineRule="auto"/>
            </w:pPr>
            <w:r>
              <w:t xml:space="preserve">The EAP should clearly show how on the basis of available data on vulnerability, exposure and impact of past events the trigger was determined. </w:t>
            </w:r>
          </w:p>
          <w:p w14:paraId="0ACCA4AD" w14:textId="77777777" w:rsidR="0007035E" w:rsidRPr="003F14AC" w:rsidRDefault="0007035E" w:rsidP="0007035E">
            <w:pPr>
              <w:widowControl w:val="0"/>
              <w:spacing w:line="240" w:lineRule="auto"/>
            </w:pPr>
            <w:r>
              <w:t>The trigger should be clear as this information needs to be verifiable once the trigger is met, so the EAP needs to state</w:t>
            </w:r>
            <w:r w:rsidRPr="003F14AC">
              <w:t xml:space="preserve"> in one sentence what exactly the trigger of your EAP will be, for example</w:t>
            </w:r>
            <w:r w:rsidRPr="003F14AC">
              <w:rPr>
                <w:i/>
                <w:iCs/>
              </w:rPr>
              <w:t>: When [source] issues a forecast of at least [probability of magnitude of event or impact], then we will act.</w:t>
            </w:r>
            <w:r w:rsidRPr="003F14AC">
              <w:t xml:space="preserve"> </w:t>
            </w:r>
          </w:p>
          <w:p w14:paraId="67D6258F" w14:textId="77777777" w:rsidR="0007035E" w:rsidRPr="003F14AC" w:rsidRDefault="0007035E" w:rsidP="0007035E">
            <w:pPr>
              <w:widowControl w:val="0"/>
              <w:spacing w:line="240" w:lineRule="auto"/>
              <w:jc w:val="both"/>
            </w:pPr>
          </w:p>
          <w:p w14:paraId="1D6BDF4E" w14:textId="77777777" w:rsidR="0007035E" w:rsidRPr="003F14AC" w:rsidRDefault="0007035E" w:rsidP="0007035E">
            <w:pPr>
              <w:widowControl w:val="0"/>
              <w:spacing w:line="240" w:lineRule="auto"/>
              <w:jc w:val="both"/>
            </w:pPr>
            <w:r w:rsidRPr="003F14AC">
              <w:t>If the EAP has more than one trigger (e.g. phased or staggered triggers) then each trigger should be clearly explained along with explanation what action will be taken following each trigger and when transfer of the early action funds are required.</w:t>
            </w:r>
          </w:p>
          <w:p w14:paraId="4E626C95" w14:textId="77777777" w:rsidR="0007035E" w:rsidRPr="003F14AC" w:rsidRDefault="0007035E" w:rsidP="0007035E">
            <w:pPr>
              <w:widowControl w:val="0"/>
              <w:spacing w:line="240" w:lineRule="auto"/>
              <w:jc w:val="both"/>
            </w:pPr>
          </w:p>
          <w:p w14:paraId="6423EED7" w14:textId="39FB22CB" w:rsidR="006F7A9E" w:rsidRDefault="0007035E" w:rsidP="006F7A9E">
            <w:pPr>
              <w:widowControl w:val="0"/>
              <w:spacing w:line="240" w:lineRule="auto"/>
              <w:jc w:val="both"/>
            </w:pPr>
            <w:r>
              <w:t xml:space="preserve">For slow onset hazards, the trigger can also be based on a combination of risk factors, forecasts and observation data especially if the impact is a result of accumulative factors (e.g. forecast of second consecutive failed rainy season). </w:t>
            </w:r>
            <w:r w:rsidR="006F7A9E">
              <w:rPr>
                <w:rFonts w:ascii="Roboto" w:eastAsia="Roboto" w:hAnsi="Roboto" w:cs="Roboto"/>
                <w:sz w:val="21"/>
                <w:szCs w:val="21"/>
                <w:highlight w:val="white"/>
              </w:rPr>
              <w:t>If unconventional triggers are used (e.g.</w:t>
            </w:r>
            <w:r w:rsidR="00C36931">
              <w:rPr>
                <w:rFonts w:ascii="Roboto" w:eastAsia="Roboto" w:hAnsi="Roboto" w:cs="Roboto"/>
                <w:sz w:val="21"/>
                <w:szCs w:val="21"/>
                <w:highlight w:val="white"/>
              </w:rPr>
              <w:t xml:space="preserve"> </w:t>
            </w:r>
            <w:r w:rsidR="006F7A9E">
              <w:rPr>
                <w:rFonts w:ascii="Roboto" w:eastAsia="Roboto" w:hAnsi="Roboto" w:cs="Roboto"/>
                <w:sz w:val="21"/>
                <w:szCs w:val="21"/>
                <w:highlight w:val="white"/>
              </w:rPr>
              <w:t xml:space="preserve">combining multiple indicators, including socio-economic indicators like food prices), </w:t>
            </w:r>
            <w:r w:rsidR="006F7A9E">
              <w:t>clear explanation should be given on which criteria/ conditions was used to assign certain weight to each indicator.</w:t>
            </w:r>
          </w:p>
          <w:p w14:paraId="518E8FBC" w14:textId="77777777" w:rsidR="006F7A9E" w:rsidRDefault="006F7A9E" w:rsidP="006F7A9E">
            <w:pPr>
              <w:widowControl w:val="0"/>
              <w:spacing w:line="240" w:lineRule="auto"/>
            </w:pPr>
          </w:p>
          <w:p w14:paraId="5E2B5122" w14:textId="58D669CC" w:rsidR="0007035E" w:rsidRDefault="006F7A9E" w:rsidP="00B63524">
            <w:pPr>
              <w:widowControl w:val="0"/>
              <w:spacing w:line="240" w:lineRule="auto"/>
              <w:rPr>
                <w:sz w:val="28"/>
                <w:szCs w:val="28"/>
              </w:rPr>
            </w:pPr>
            <w:r>
              <w:t xml:space="preserve">In case of drought, </w:t>
            </w:r>
            <w:r>
              <w:rPr>
                <w:rFonts w:ascii="Roboto" w:eastAsia="Roboto" w:hAnsi="Roboto" w:cs="Roboto"/>
                <w:sz w:val="21"/>
                <w:szCs w:val="21"/>
                <w:highlight w:val="white"/>
              </w:rPr>
              <w:t>it might be more difficult to look back on the historical record of rainfall and its specific impacts and see a clear correlation between the</w:t>
            </w:r>
            <w:r>
              <w:rPr>
                <w:rFonts w:ascii="Roboto" w:eastAsia="Roboto" w:hAnsi="Roboto" w:cs="Roboto"/>
                <w:sz w:val="21"/>
                <w:szCs w:val="21"/>
              </w:rPr>
              <w:t xml:space="preserve"> </w:t>
            </w:r>
            <w:r>
              <w:rPr>
                <w:rFonts w:ascii="Roboto" w:eastAsia="Roboto" w:hAnsi="Roboto" w:cs="Roboto"/>
                <w:sz w:val="21"/>
                <w:szCs w:val="21"/>
                <w:highlight w:val="white"/>
              </w:rPr>
              <w:t>tw</w:t>
            </w:r>
            <w:r>
              <w:rPr>
                <w:rFonts w:ascii="Roboto" w:eastAsia="Roboto" w:hAnsi="Roboto" w:cs="Roboto"/>
                <w:sz w:val="21"/>
                <w:szCs w:val="21"/>
              </w:rPr>
              <w:t>o</w:t>
            </w:r>
            <w:r>
              <w:rPr>
                <w:rFonts w:ascii="Roboto" w:eastAsia="Roboto" w:hAnsi="Roboto" w:cs="Roboto"/>
                <w:sz w:val="21"/>
                <w:szCs w:val="21"/>
                <w:highlight w:val="white"/>
              </w:rPr>
              <w:t xml:space="preserve">, as some drought-typical impacts are also highly affected by other socio-economic drivers (insecurity, weather </w:t>
            </w:r>
            <w:r>
              <w:rPr>
                <w:rFonts w:ascii="Roboto" w:eastAsia="Roboto" w:hAnsi="Roboto" w:cs="Roboto"/>
                <w:sz w:val="21"/>
                <w:szCs w:val="21"/>
                <w:highlight w:val="white"/>
              </w:rPr>
              <w:lastRenderedPageBreak/>
              <w:t>patterns elsewhere that affect local food prices etc)</w:t>
            </w:r>
            <w:r>
              <w:rPr>
                <w:rFonts w:ascii="Roboto" w:eastAsia="Roboto" w:hAnsi="Roboto" w:cs="Roboto"/>
                <w:sz w:val="21"/>
                <w:szCs w:val="21"/>
              </w:rPr>
              <w:t xml:space="preserve">. </w:t>
            </w:r>
            <w:r w:rsidR="00C31699">
              <w:rPr>
                <w:rFonts w:ascii="Roboto" w:eastAsia="Roboto" w:hAnsi="Roboto" w:cs="Roboto"/>
                <w:sz w:val="21"/>
                <w:szCs w:val="21"/>
              </w:rPr>
              <w:t>Also consider</w:t>
            </w:r>
            <w:r>
              <w:rPr>
                <w:rFonts w:ascii="Roboto" w:eastAsia="Roboto" w:hAnsi="Roboto" w:cs="Roboto"/>
                <w:sz w:val="21"/>
                <w:szCs w:val="21"/>
                <w:highlight w:val="white"/>
              </w:rPr>
              <w:t xml:space="preserve"> </w:t>
            </w:r>
            <w:r>
              <w:t>the links between the effects of dryness and economic, social and environmental impacts and choices.</w:t>
            </w:r>
            <w:r w:rsidR="00B63524">
              <w:t xml:space="preserve"> </w:t>
            </w:r>
            <w:r>
              <w:rPr>
                <w:rFonts w:ascii="Roboto" w:eastAsia="Roboto" w:hAnsi="Roboto" w:cs="Roboto"/>
                <w:sz w:val="21"/>
                <w:szCs w:val="21"/>
                <w:highlight w:val="white"/>
              </w:rPr>
              <w:t>If qualitative information is included in th</w:t>
            </w:r>
            <w:r w:rsidRPr="00080917">
              <w:rPr>
                <w:rFonts w:ascii="Roboto" w:eastAsia="Roboto" w:hAnsi="Roboto" w:cs="Roboto"/>
                <w:sz w:val="21"/>
                <w:szCs w:val="21"/>
                <w:highlight w:val="white"/>
              </w:rPr>
              <w:t>e trigger</w:t>
            </w:r>
            <w:r>
              <w:rPr>
                <w:rFonts w:ascii="Roboto" w:eastAsia="Roboto" w:hAnsi="Roboto" w:cs="Roboto"/>
                <w:sz w:val="21"/>
                <w:szCs w:val="21"/>
                <w:highlight w:val="white"/>
              </w:rPr>
              <w:t xml:space="preserve"> it should be</w:t>
            </w:r>
            <w:r w:rsidRPr="00080917">
              <w:rPr>
                <w:rFonts w:ascii="Roboto" w:eastAsia="Roboto" w:hAnsi="Roboto" w:cs="Roboto"/>
                <w:sz w:val="21"/>
                <w:szCs w:val="21"/>
                <w:highlight w:val="white"/>
              </w:rPr>
              <w:t xml:space="preserve"> from an authoritative source.</w:t>
            </w:r>
          </w:p>
        </w:tc>
      </w:tr>
      <w:tr w:rsidR="0007035E" w14:paraId="34E27F55" w14:textId="77777777" w:rsidTr="6A72DC1B">
        <w:tc>
          <w:tcPr>
            <w:tcW w:w="6511" w:type="dxa"/>
            <w:shd w:val="clear" w:color="auto" w:fill="auto"/>
            <w:tcMar>
              <w:top w:w="100" w:type="dxa"/>
              <w:left w:w="100" w:type="dxa"/>
              <w:bottom w:w="100" w:type="dxa"/>
              <w:right w:w="100" w:type="dxa"/>
            </w:tcMar>
          </w:tcPr>
          <w:p w14:paraId="6F96C54E" w14:textId="6439955A" w:rsidR="0007035E" w:rsidRDefault="0007035E" w:rsidP="0007035E">
            <w:pPr>
              <w:widowControl w:val="0"/>
              <w:spacing w:line="240" w:lineRule="auto"/>
            </w:pPr>
            <w:r w:rsidRPr="00990EA6">
              <w:lastRenderedPageBreak/>
              <w:t>The EAP provides an analysis of historical disaster impact for the selected hazard and provides an evidence-based analysis of exposure and vulnerability</w:t>
            </w:r>
            <w:r>
              <w:t>.</w:t>
            </w:r>
          </w:p>
          <w:p w14:paraId="3FEFF21E" w14:textId="77777777" w:rsidR="00431870" w:rsidRDefault="00431870" w:rsidP="0007035E">
            <w:pPr>
              <w:widowControl w:val="0"/>
              <w:spacing w:line="240" w:lineRule="auto"/>
              <w:rPr>
                <w:b/>
              </w:rPr>
            </w:pPr>
          </w:p>
          <w:p w14:paraId="4EE15BB9" w14:textId="3A64968A" w:rsidR="0007035E" w:rsidRDefault="0007035E" w:rsidP="0007035E">
            <w:pPr>
              <w:widowControl w:val="0"/>
              <w:spacing w:line="240" w:lineRule="auto"/>
              <w:rPr>
                <w:b/>
              </w:rPr>
            </w:pPr>
            <w:r w:rsidRPr="0753BF62">
              <w:rPr>
                <w:b/>
              </w:rPr>
              <w:t>(Section 3.1 EAP – Hazard selection and section 3.2 – Exposed Elements and their vulnerability factors)</w:t>
            </w:r>
          </w:p>
        </w:tc>
        <w:tc>
          <w:tcPr>
            <w:tcW w:w="8788" w:type="dxa"/>
          </w:tcPr>
          <w:p w14:paraId="720F98AA" w14:textId="49C28CAD" w:rsidR="000D37EB" w:rsidRDefault="0007035E" w:rsidP="000D37EB">
            <w:pPr>
              <w:widowControl w:val="0"/>
              <w:spacing w:line="240" w:lineRule="auto"/>
            </w:pPr>
            <w:r>
              <w:t>The EA</w:t>
            </w:r>
            <w:r w:rsidR="00A26C14">
              <w:t>P</w:t>
            </w:r>
            <w:r>
              <w:t xml:space="preserve"> should have an information management system, which shows how risk data is integrated into trigger model and how the data will be updated on regular basis according to the context.</w:t>
            </w:r>
            <w:r w:rsidR="000D37EB">
              <w:t xml:space="preserve"> </w:t>
            </w:r>
          </w:p>
          <w:p w14:paraId="28A90FE8" w14:textId="77777777" w:rsidR="000D37EB" w:rsidRDefault="000D37EB" w:rsidP="000D37EB">
            <w:pPr>
              <w:widowControl w:val="0"/>
              <w:spacing w:line="240" w:lineRule="auto"/>
            </w:pPr>
          </w:p>
          <w:p w14:paraId="3CAD9192" w14:textId="5B60B914" w:rsidR="000D37EB" w:rsidRDefault="000D37EB" w:rsidP="000D37EB">
            <w:pPr>
              <w:widowControl w:val="0"/>
              <w:spacing w:line="240" w:lineRule="auto"/>
            </w:pPr>
            <w:r>
              <w:t>In the case of drought, there may be limited historical disaster data in some countries due to the complexity of drought and also the fact that drought might be a new hazard in some areas (partly due to climate change). The EAP may consider profiling proxy data/ reference data either in other countries/ regions of similar context or general scientific findings to support this analysis.</w:t>
            </w:r>
          </w:p>
          <w:p w14:paraId="3688B05C" w14:textId="69B670DE" w:rsidR="0007035E" w:rsidRPr="009E3DC3" w:rsidRDefault="0007035E" w:rsidP="0007035E">
            <w:pPr>
              <w:widowControl w:val="0"/>
              <w:spacing w:line="240" w:lineRule="auto"/>
            </w:pPr>
          </w:p>
        </w:tc>
      </w:tr>
      <w:tr w:rsidR="0007035E" w14:paraId="751E1C0B" w14:textId="77777777" w:rsidTr="6A72DC1B">
        <w:tc>
          <w:tcPr>
            <w:tcW w:w="6511" w:type="dxa"/>
            <w:shd w:val="clear" w:color="auto" w:fill="auto"/>
            <w:tcMar>
              <w:top w:w="100" w:type="dxa"/>
              <w:left w:w="100" w:type="dxa"/>
              <w:bottom w:w="100" w:type="dxa"/>
              <w:right w:w="100" w:type="dxa"/>
            </w:tcMar>
          </w:tcPr>
          <w:p w14:paraId="6536571A" w14:textId="77777777" w:rsidR="00B108DC" w:rsidRDefault="00B108DC" w:rsidP="00B108DC">
            <w:pPr>
              <w:widowControl w:val="0"/>
              <w:spacing w:line="240" w:lineRule="auto"/>
            </w:pPr>
            <w:r>
              <w:t xml:space="preserve">There is an annex with a menu of forecasts and/or other relevant early warning and /or monitoring/surveillance systems, demonstrating a review of all available forecasts data relevant to this hazard. </w:t>
            </w:r>
          </w:p>
          <w:p w14:paraId="6895755A" w14:textId="77777777" w:rsidR="00431870" w:rsidRDefault="00431870" w:rsidP="00B108DC">
            <w:pPr>
              <w:widowControl w:val="0"/>
              <w:spacing w:line="240" w:lineRule="auto"/>
              <w:rPr>
                <w:b/>
              </w:rPr>
            </w:pPr>
          </w:p>
          <w:p w14:paraId="44B9B022" w14:textId="73283566" w:rsidR="0007035E" w:rsidRDefault="00B108DC" w:rsidP="00B108DC">
            <w:pPr>
              <w:widowControl w:val="0"/>
              <w:spacing w:line="240" w:lineRule="auto"/>
              <w:rPr>
                <w:b/>
              </w:rPr>
            </w:pPr>
            <w:r>
              <w:rPr>
                <w:b/>
              </w:rPr>
              <w:t>(Section 4.2 EAP template – Forecast selection)</w:t>
            </w:r>
          </w:p>
        </w:tc>
        <w:tc>
          <w:tcPr>
            <w:tcW w:w="8788" w:type="dxa"/>
          </w:tcPr>
          <w:p w14:paraId="548B074C" w14:textId="739043D0" w:rsidR="0007035E" w:rsidRDefault="0007035E" w:rsidP="0007035E">
            <w:pPr>
              <w:widowControl w:val="0"/>
              <w:spacing w:line="240" w:lineRule="auto"/>
            </w:pPr>
            <w:r>
              <w:t>The menu of forecasts should include all available forecasts and list for each forecast or observation used for the trigger the lead time, the skill/confidence, the probability (if possible) and the source.</w:t>
            </w:r>
          </w:p>
          <w:p w14:paraId="5894A053" w14:textId="503A496D" w:rsidR="0007035E" w:rsidRPr="0007035E" w:rsidRDefault="0007035E" w:rsidP="0007035E">
            <w:pPr>
              <w:widowControl w:val="0"/>
              <w:spacing w:line="240" w:lineRule="auto"/>
            </w:pPr>
          </w:p>
          <w:p w14:paraId="22A6D3F5" w14:textId="7A95F602" w:rsidR="0007035E" w:rsidRDefault="0007035E" w:rsidP="0007035E">
            <w:pPr>
              <w:widowControl w:val="0"/>
              <w:spacing w:line="240" w:lineRule="auto"/>
              <w:rPr>
                <w:sz w:val="21"/>
                <w:szCs w:val="21"/>
              </w:rPr>
            </w:pPr>
            <w:r w:rsidRPr="0007035E">
              <w:t>If other early warning information (non-hydro-met forecasts, satellite observation, socio-economic indicators, etc) are used (e.g. in the case of drought or epidemics), a review of the quality of available early warning and monitoring systems would be needed.</w:t>
            </w:r>
            <w:r w:rsidRPr="4A435ECE">
              <w:rPr>
                <w:sz w:val="21"/>
                <w:szCs w:val="21"/>
              </w:rPr>
              <w:t xml:space="preserve"> </w:t>
            </w:r>
          </w:p>
        </w:tc>
      </w:tr>
      <w:tr w:rsidR="0007035E" w14:paraId="36190B8B" w14:textId="77777777" w:rsidTr="6A72DC1B">
        <w:tc>
          <w:tcPr>
            <w:tcW w:w="6511" w:type="dxa"/>
            <w:shd w:val="clear" w:color="auto" w:fill="auto"/>
            <w:tcMar>
              <w:top w:w="100" w:type="dxa"/>
              <w:left w:w="100" w:type="dxa"/>
              <w:bottom w:w="100" w:type="dxa"/>
              <w:right w:w="100" w:type="dxa"/>
            </w:tcMar>
          </w:tcPr>
          <w:p w14:paraId="69C466FE" w14:textId="77777777" w:rsidR="000B3BA7" w:rsidRDefault="0007035E" w:rsidP="0007035E">
            <w:pPr>
              <w:widowControl w:val="0"/>
              <w:spacing w:line="240" w:lineRule="auto"/>
            </w:pPr>
            <w:r>
              <w:t xml:space="preserve">Data must be provided that shows that an event of the magnitude/strength of the event that the trigger is based on has caused disastrous humanitarian impact in the region in the past. </w:t>
            </w:r>
          </w:p>
          <w:p w14:paraId="3155309F" w14:textId="77777777" w:rsidR="000B3BA7" w:rsidRDefault="000B3BA7" w:rsidP="0007035E">
            <w:pPr>
              <w:widowControl w:val="0"/>
              <w:spacing w:line="240" w:lineRule="auto"/>
            </w:pPr>
          </w:p>
          <w:p w14:paraId="64AD0301" w14:textId="2EB0024E" w:rsidR="0007035E" w:rsidRDefault="0007035E" w:rsidP="0007035E">
            <w:pPr>
              <w:widowControl w:val="0"/>
              <w:spacing w:line="240" w:lineRule="auto"/>
              <w:rPr>
                <w:color w:val="351C75"/>
                <w:sz w:val="28"/>
                <w:szCs w:val="28"/>
              </w:rPr>
            </w:pPr>
            <w:r w:rsidRPr="0753BF62">
              <w:rPr>
                <w:b/>
              </w:rPr>
              <w:t>(Section 4.3 EAP template - Definition and justification of impact level)</w:t>
            </w:r>
          </w:p>
        </w:tc>
        <w:tc>
          <w:tcPr>
            <w:tcW w:w="8788" w:type="dxa"/>
          </w:tcPr>
          <w:p w14:paraId="38DEACBC" w14:textId="268980BC" w:rsidR="0007035E" w:rsidRDefault="0007035E" w:rsidP="0007035E">
            <w:pPr>
              <w:widowControl w:val="0"/>
              <w:spacing w:line="240" w:lineRule="auto"/>
              <w:rPr>
                <w:color w:val="351C75"/>
                <w:sz w:val="28"/>
                <w:szCs w:val="28"/>
              </w:rPr>
            </w:pPr>
            <w:r>
              <w:t>The DREF allocates funding for EAPs to reduce the impacts of extreme events of a strength or magnitude that in the past have required humanitarian assistance. In order to demonstrate that the selected hazard has caused extreme humanitarian impacts in the past, information on the previous impacts of the selected hazard in the country should be provided.</w:t>
            </w:r>
          </w:p>
          <w:p w14:paraId="0AC943C5" w14:textId="262F72DC" w:rsidR="0007035E" w:rsidRDefault="0007035E" w:rsidP="0007035E">
            <w:pPr>
              <w:widowControl w:val="0"/>
              <w:spacing w:line="240" w:lineRule="auto"/>
            </w:pPr>
          </w:p>
          <w:p w14:paraId="5C592C8E" w14:textId="49AB042F" w:rsidR="0007035E" w:rsidRDefault="004B5BCD" w:rsidP="0007035E">
            <w:pPr>
              <w:widowControl w:val="0"/>
              <w:spacing w:line="240" w:lineRule="auto"/>
            </w:pPr>
            <w:r>
              <w:t xml:space="preserve">In the case of drought, there may be limited historical disaster data in some countries due to the complexity of drought and also the fact that drought might be a new hazard in some areas (partly due to climate change). </w:t>
            </w:r>
            <w:r>
              <w:rPr>
                <w:rFonts w:ascii="Roboto" w:eastAsia="Roboto" w:hAnsi="Roboto" w:cs="Roboto"/>
                <w:sz w:val="21"/>
                <w:szCs w:val="21"/>
                <w:highlight w:val="white"/>
              </w:rPr>
              <w:t>Regions that have rarely experienced droughts will be less resilience to these shocks and have less coping capacity and strategies. These may be the most vulnerable to the impacts of drought even though historical data might be limited. In these cases,</w:t>
            </w:r>
            <w:r>
              <w:rPr>
                <w:rFonts w:ascii="Roboto" w:eastAsia="Roboto" w:hAnsi="Roboto" w:cs="Roboto"/>
                <w:sz w:val="21"/>
                <w:szCs w:val="21"/>
              </w:rPr>
              <w:t xml:space="preserve"> </w:t>
            </w:r>
            <w:r>
              <w:t>climate change projections could also be taken into consideration (e.g. changing drought patterns).</w:t>
            </w:r>
          </w:p>
        </w:tc>
      </w:tr>
      <w:tr w:rsidR="0007035E" w14:paraId="177E7859" w14:textId="77777777" w:rsidTr="6A72DC1B">
        <w:tc>
          <w:tcPr>
            <w:tcW w:w="6511" w:type="dxa"/>
            <w:shd w:val="clear" w:color="auto" w:fill="auto"/>
            <w:tcMar>
              <w:top w:w="100" w:type="dxa"/>
              <w:left w:w="100" w:type="dxa"/>
              <w:bottom w:w="100" w:type="dxa"/>
              <w:right w:w="100" w:type="dxa"/>
            </w:tcMar>
          </w:tcPr>
          <w:p w14:paraId="1C082EDC" w14:textId="2C3705C6" w:rsidR="0007035E" w:rsidRDefault="0007035E" w:rsidP="0753BF62">
            <w:pPr>
              <w:widowControl w:val="0"/>
              <w:spacing w:line="240" w:lineRule="auto"/>
            </w:pPr>
            <w:r>
              <w:lastRenderedPageBreak/>
              <w:t xml:space="preserve">There is a map or a clear methodology that will tell the NS where action should be taken based on a combination of vulnerability, exposure, and the forecast, when the EAP is activated based on the trigger model. </w:t>
            </w:r>
          </w:p>
          <w:p w14:paraId="55E557BE" w14:textId="77777777" w:rsidR="000B3BA7" w:rsidRDefault="000B3BA7" w:rsidP="0753BF62">
            <w:pPr>
              <w:widowControl w:val="0"/>
              <w:spacing w:line="240" w:lineRule="auto"/>
              <w:rPr>
                <w:color w:val="351C75"/>
                <w:sz w:val="28"/>
                <w:szCs w:val="28"/>
              </w:rPr>
            </w:pPr>
          </w:p>
          <w:p w14:paraId="79DC9967" w14:textId="4DD8EDB2" w:rsidR="0007035E" w:rsidRDefault="0007035E" w:rsidP="0007035E">
            <w:pPr>
              <w:widowControl w:val="0"/>
              <w:spacing w:line="240" w:lineRule="auto"/>
              <w:rPr>
                <w:b/>
                <w:color w:val="351C75"/>
                <w:sz w:val="28"/>
                <w:szCs w:val="28"/>
              </w:rPr>
            </w:pPr>
            <w:r w:rsidRPr="0753BF62">
              <w:rPr>
                <w:b/>
              </w:rPr>
              <w:t>(Section 4.4 EAP template – Identification of the intervention area)</w:t>
            </w:r>
          </w:p>
        </w:tc>
        <w:tc>
          <w:tcPr>
            <w:tcW w:w="8788" w:type="dxa"/>
          </w:tcPr>
          <w:p w14:paraId="1EF5F051" w14:textId="1A4A25D2" w:rsidR="0007035E" w:rsidRPr="00DB5689" w:rsidRDefault="0007035E" w:rsidP="0007035E">
            <w:pPr>
              <w:widowControl w:val="0"/>
              <w:spacing w:line="240" w:lineRule="auto"/>
              <w:jc w:val="both"/>
            </w:pPr>
            <w:r>
              <w:t xml:space="preserve">In the most advanced form, the forecast would be digitally combined with vulnerability and exposure information, to show which areas are predicted to be most severely impacted. This will provide a map-based tool or a list of prioritized districts villages, municipalities or other geographical areas where the early actions will be activated. </w:t>
            </w:r>
            <w:r w:rsidR="00B36350">
              <w:t>Where no digital system is available, the combination of forecast and vulnerability/exposure indicators could also be done manually or qualitatively, explaining the process of deciding how the National Society will select where the action will take place.</w:t>
            </w:r>
          </w:p>
        </w:tc>
      </w:tr>
      <w:tr w:rsidR="0007035E" w14:paraId="653E41EA" w14:textId="77777777" w:rsidTr="6A72DC1B">
        <w:tc>
          <w:tcPr>
            <w:tcW w:w="6511" w:type="dxa"/>
            <w:shd w:val="clear" w:color="auto" w:fill="auto"/>
            <w:tcMar>
              <w:top w:w="100" w:type="dxa"/>
              <w:left w:w="100" w:type="dxa"/>
              <w:bottom w:w="100" w:type="dxa"/>
              <w:right w:w="100" w:type="dxa"/>
            </w:tcMar>
          </w:tcPr>
          <w:p w14:paraId="2188CF0D" w14:textId="77777777" w:rsidR="0007035E" w:rsidRDefault="0007035E" w:rsidP="0007035E">
            <w:pPr>
              <w:widowControl w:val="0"/>
              <w:spacing w:line="240" w:lineRule="auto"/>
            </w:pPr>
            <w:r>
              <w:t>The EAP trigger chapter includes calculations and evidence for the following points:</w:t>
            </w:r>
          </w:p>
          <w:p w14:paraId="187BF78C" w14:textId="77777777" w:rsidR="0007035E" w:rsidRDefault="0007035E" w:rsidP="0007035E">
            <w:pPr>
              <w:widowControl w:val="0"/>
              <w:numPr>
                <w:ilvl w:val="0"/>
                <w:numId w:val="3"/>
              </w:numPr>
              <w:spacing w:line="240" w:lineRule="auto"/>
              <w:contextualSpacing/>
            </w:pPr>
            <w:r>
              <w:t>Frequency of the trigger being reached</w:t>
            </w:r>
          </w:p>
          <w:p w14:paraId="0E8A291A" w14:textId="77777777" w:rsidR="00E30226" w:rsidRDefault="0007035E" w:rsidP="00E30226">
            <w:pPr>
              <w:widowControl w:val="0"/>
              <w:numPr>
                <w:ilvl w:val="0"/>
                <w:numId w:val="3"/>
              </w:numPr>
              <w:spacing w:line="240" w:lineRule="auto"/>
              <w:contextualSpacing/>
            </w:pPr>
            <w:r>
              <w:t>Minimum 5-year return period of the event</w:t>
            </w:r>
          </w:p>
          <w:p w14:paraId="4DDD3583" w14:textId="7BABF2AF" w:rsidR="00D32A6A" w:rsidRPr="000B3BA7" w:rsidRDefault="0007035E" w:rsidP="00E30226">
            <w:pPr>
              <w:widowControl w:val="0"/>
              <w:numPr>
                <w:ilvl w:val="0"/>
                <w:numId w:val="3"/>
              </w:numPr>
              <w:spacing w:line="240" w:lineRule="auto"/>
              <w:contextualSpacing/>
              <w:rPr>
                <w:lang w:val="en-GB"/>
              </w:rPr>
            </w:pPr>
            <w:r w:rsidRPr="000B3BA7">
              <w:rPr>
                <w:lang w:val="en-GB"/>
              </w:rPr>
              <w:t>Probability of acting in vain</w:t>
            </w:r>
            <w:r w:rsidR="00D32A6A" w:rsidRPr="000B3BA7">
              <w:rPr>
                <w:lang w:val="en-GB"/>
              </w:rPr>
              <w:t xml:space="preserve"> (false alarm ratio)</w:t>
            </w:r>
          </w:p>
          <w:p w14:paraId="69DBA3C1" w14:textId="527C7B82" w:rsidR="0007035E" w:rsidRDefault="0007035E" w:rsidP="0007035E">
            <w:pPr>
              <w:pStyle w:val="ListParagraph"/>
              <w:widowControl w:val="0"/>
              <w:numPr>
                <w:ilvl w:val="0"/>
                <w:numId w:val="3"/>
              </w:numPr>
              <w:spacing w:line="240" w:lineRule="auto"/>
            </w:pPr>
            <w:r>
              <w:t>Lead time</w:t>
            </w:r>
          </w:p>
        </w:tc>
        <w:tc>
          <w:tcPr>
            <w:tcW w:w="8788" w:type="dxa"/>
          </w:tcPr>
          <w:p w14:paraId="7E62DB39" w14:textId="31811677" w:rsidR="006704E5" w:rsidRDefault="006704E5" w:rsidP="003D63CF">
            <w:pPr>
              <w:widowControl w:val="0"/>
              <w:spacing w:line="240" w:lineRule="auto"/>
              <w:rPr>
                <w:color w:val="351C75"/>
              </w:rPr>
            </w:pPr>
          </w:p>
          <w:p w14:paraId="40479757" w14:textId="59501050" w:rsidR="006704E5" w:rsidRDefault="006704E5" w:rsidP="003D63CF">
            <w:pPr>
              <w:widowControl w:val="0"/>
              <w:spacing w:line="240" w:lineRule="auto"/>
              <w:rPr>
                <w:i/>
              </w:rPr>
            </w:pPr>
            <w:r w:rsidRPr="002E0159">
              <w:t>An extreme event could be forecasted several times in a deca</w:t>
            </w:r>
            <w:r>
              <w:t xml:space="preserve">de </w:t>
            </w:r>
            <w:r w:rsidRPr="002E0159">
              <w:rPr>
                <w:i/>
              </w:rPr>
              <w:t>(frequency of trigger being reached)</w:t>
            </w:r>
            <w:r w:rsidRPr="002E0159">
              <w:t xml:space="preserve">, but only happen once in that decade </w:t>
            </w:r>
            <w:r w:rsidRPr="002E0159">
              <w:rPr>
                <w:i/>
              </w:rPr>
              <w:t>(return period of the event).</w:t>
            </w:r>
          </w:p>
          <w:p w14:paraId="6F8EC459" w14:textId="77777777" w:rsidR="006704E5" w:rsidRDefault="006704E5" w:rsidP="003D63CF">
            <w:pPr>
              <w:widowControl w:val="0"/>
              <w:spacing w:line="240" w:lineRule="auto"/>
              <w:rPr>
                <w:color w:val="351C75"/>
              </w:rPr>
            </w:pPr>
          </w:p>
          <w:p w14:paraId="77C576ED" w14:textId="21C37BF9" w:rsidR="003D63CF" w:rsidRDefault="003D63CF" w:rsidP="003D63CF">
            <w:pPr>
              <w:widowControl w:val="0"/>
              <w:spacing w:line="240" w:lineRule="auto"/>
            </w:pPr>
            <w:r>
              <w:t xml:space="preserve">Forecasts/observation thresholds used for the trigger will provide the probability of the event happening, once the trigger is reached. A 5-year return period means that in any year there is a 20% chance or less </w:t>
            </w:r>
            <w:r w:rsidR="00962F09">
              <w:t>of the</w:t>
            </w:r>
            <w:r>
              <w:t xml:space="preserve"> event occurring. In exceptional cases, in very large countries with distinctive climate zones, the </w:t>
            </w:r>
            <w:r w:rsidR="00962F09">
              <w:t>5-year</w:t>
            </w:r>
            <w:r>
              <w:t xml:space="preserve"> return period can be applied to separate regions, with appropriate justification.</w:t>
            </w:r>
          </w:p>
          <w:p w14:paraId="3E909A18" w14:textId="77777777" w:rsidR="000D35B3" w:rsidRDefault="000D35B3" w:rsidP="003D63CF">
            <w:pPr>
              <w:widowControl w:val="0"/>
              <w:spacing w:line="240" w:lineRule="auto"/>
            </w:pPr>
          </w:p>
          <w:p w14:paraId="08D1943E" w14:textId="1F734C59" w:rsidR="003D63CF" w:rsidRDefault="006704E5" w:rsidP="006704E5">
            <w:pPr>
              <w:widowControl w:val="0"/>
              <w:spacing w:line="240" w:lineRule="auto"/>
            </w:pPr>
            <w:r>
              <w:t xml:space="preserve">Probability of acting in vain will need to be calibrated. If a seasonal forecast is used, the probability of acting in vain may be higher, so the EAP needs to include clear explanation if staggered triggers and stop mechanisms have been considered, and strong consideration of do no harm. </w:t>
            </w:r>
          </w:p>
          <w:p w14:paraId="6B30D614" w14:textId="77777777" w:rsidR="003D63CF" w:rsidRDefault="003D63CF" w:rsidP="003D63CF">
            <w:pPr>
              <w:widowControl w:val="0"/>
              <w:spacing w:line="240" w:lineRule="auto"/>
            </w:pPr>
          </w:p>
          <w:p w14:paraId="4B91A903" w14:textId="77777777" w:rsidR="003D63CF" w:rsidRDefault="003D63CF" w:rsidP="003D63CF">
            <w:pPr>
              <w:widowControl w:val="0"/>
              <w:spacing w:line="240" w:lineRule="auto"/>
            </w:pPr>
            <w:r>
              <w:t>In the case of drought there might be more than one trigger, which will help to contribute to a lower ratio of acting in vain.</w:t>
            </w:r>
          </w:p>
          <w:p w14:paraId="2A261083" w14:textId="78696D5E" w:rsidR="0007035E" w:rsidRPr="00DB5689" w:rsidRDefault="0007035E" w:rsidP="0007035E">
            <w:pPr>
              <w:widowControl w:val="0"/>
              <w:spacing w:line="240" w:lineRule="auto"/>
              <w:rPr>
                <w:sz w:val="24"/>
                <w:szCs w:val="24"/>
              </w:rPr>
            </w:pPr>
          </w:p>
        </w:tc>
      </w:tr>
      <w:tr w:rsidR="002A269A" w14:paraId="42234BAC" w14:textId="77777777" w:rsidTr="6A72DC1B">
        <w:tc>
          <w:tcPr>
            <w:tcW w:w="6511" w:type="dxa"/>
            <w:shd w:val="clear" w:color="auto" w:fill="000000" w:themeFill="text1"/>
            <w:tcMar>
              <w:top w:w="100" w:type="dxa"/>
              <w:left w:w="100" w:type="dxa"/>
              <w:bottom w:w="100" w:type="dxa"/>
              <w:right w:w="100" w:type="dxa"/>
            </w:tcMar>
          </w:tcPr>
          <w:p w14:paraId="59B40E16" w14:textId="1CDCBF60" w:rsidR="002A269A" w:rsidRPr="00354088" w:rsidRDefault="00071F35" w:rsidP="005F28F0">
            <w:pPr>
              <w:widowControl w:val="0"/>
              <w:spacing w:line="240" w:lineRule="auto"/>
              <w:rPr>
                <w:color w:val="FFFFFF" w:themeColor="background1"/>
                <w:sz w:val="28"/>
                <w:szCs w:val="28"/>
              </w:rPr>
            </w:pPr>
            <w:r w:rsidRPr="00354088">
              <w:rPr>
                <w:color w:val="FFFFFF" w:themeColor="background1"/>
                <w:sz w:val="28"/>
                <w:szCs w:val="28"/>
              </w:rPr>
              <w:t xml:space="preserve"> </w:t>
            </w:r>
            <w:r w:rsidR="002A269A" w:rsidRPr="00354088">
              <w:rPr>
                <w:color w:val="FFFFFF" w:themeColor="background1"/>
                <w:sz w:val="28"/>
                <w:szCs w:val="28"/>
              </w:rPr>
              <w:t>Early Actions</w:t>
            </w:r>
          </w:p>
        </w:tc>
        <w:tc>
          <w:tcPr>
            <w:tcW w:w="8788" w:type="dxa"/>
            <w:shd w:val="clear" w:color="auto" w:fill="000000" w:themeFill="text1"/>
          </w:tcPr>
          <w:p w14:paraId="6B8D3D8D" w14:textId="77777777" w:rsidR="002A269A" w:rsidRPr="00354088" w:rsidRDefault="002A269A" w:rsidP="005F28F0">
            <w:pPr>
              <w:widowControl w:val="0"/>
              <w:spacing w:line="240" w:lineRule="auto"/>
              <w:rPr>
                <w:color w:val="FFFFFF" w:themeColor="background1"/>
                <w:sz w:val="28"/>
                <w:szCs w:val="28"/>
              </w:rPr>
            </w:pPr>
            <w:r w:rsidRPr="00354088">
              <w:rPr>
                <w:color w:val="FFFFFF" w:themeColor="background1"/>
                <w:sz w:val="28"/>
                <w:szCs w:val="28"/>
              </w:rPr>
              <w:t>Comments</w:t>
            </w:r>
          </w:p>
        </w:tc>
      </w:tr>
      <w:tr w:rsidR="002A269A" w14:paraId="165E97E8" w14:textId="77777777" w:rsidTr="6A72DC1B">
        <w:tc>
          <w:tcPr>
            <w:tcW w:w="6511" w:type="dxa"/>
            <w:shd w:val="clear" w:color="auto" w:fill="auto"/>
            <w:tcMar>
              <w:top w:w="100" w:type="dxa"/>
              <w:left w:w="100" w:type="dxa"/>
              <w:bottom w:w="100" w:type="dxa"/>
              <w:right w:w="100" w:type="dxa"/>
            </w:tcMar>
          </w:tcPr>
          <w:p w14:paraId="70FB52E7" w14:textId="6377BCBF" w:rsidR="002A269A" w:rsidRDefault="67485C88" w:rsidP="002C36BB">
            <w:pPr>
              <w:widowControl w:val="0"/>
              <w:spacing w:line="240" w:lineRule="auto"/>
            </w:pPr>
            <w:r>
              <w:t xml:space="preserve">Forecast-based Early Actions are selected based on the reduction of risk that they will provide. The EAP describes the main steps used to determine which actions </w:t>
            </w:r>
            <w:r w:rsidR="1E9BCF8F">
              <w:t>w</w:t>
            </w:r>
            <w:r w:rsidR="0018292B">
              <w:t>ere</w:t>
            </w:r>
            <w:r>
              <w:t xml:space="preserve"> select</w:t>
            </w:r>
            <w:r w:rsidR="3F94C2B1">
              <w:t>ed</w:t>
            </w:r>
            <w:r>
              <w:t xml:space="preserve"> to reduce a specific disaster impact.</w:t>
            </w:r>
            <w:r w:rsidR="4F2C92B1">
              <w:t xml:space="preserve"> </w:t>
            </w:r>
          </w:p>
          <w:p w14:paraId="0390DB8F" w14:textId="77777777" w:rsidR="00962F09" w:rsidRDefault="00962F09" w:rsidP="002C36BB">
            <w:pPr>
              <w:widowControl w:val="0"/>
              <w:spacing w:line="240" w:lineRule="auto"/>
            </w:pPr>
          </w:p>
          <w:p w14:paraId="73C82836" w14:textId="38FCD5C0" w:rsidR="002A269A" w:rsidRDefault="4F2C92B1" w:rsidP="002C36BB">
            <w:pPr>
              <w:widowControl w:val="0"/>
              <w:spacing w:line="240" w:lineRule="auto"/>
              <w:rPr>
                <w:b/>
              </w:rPr>
            </w:pPr>
            <w:r w:rsidRPr="0753BF62">
              <w:rPr>
                <w:b/>
              </w:rPr>
              <w:t>(Section 5.1 EAP template – Early Action Selection Process)</w:t>
            </w:r>
          </w:p>
        </w:tc>
        <w:tc>
          <w:tcPr>
            <w:tcW w:w="8788" w:type="dxa"/>
          </w:tcPr>
          <w:p w14:paraId="1173358B" w14:textId="643498F5" w:rsidR="002A269A" w:rsidRPr="0018292B" w:rsidRDefault="67485C88" w:rsidP="4A435ECE">
            <w:pPr>
              <w:widowControl w:val="0"/>
              <w:spacing w:line="240" w:lineRule="auto"/>
              <w:rPr>
                <w:i/>
                <w:iCs/>
                <w:color w:val="000000" w:themeColor="text1"/>
                <w:lang w:val="en-US"/>
              </w:rPr>
            </w:pPr>
            <w:r w:rsidRPr="0018292B">
              <w:t>The FbF design process described in the FbF Manual</w:t>
            </w:r>
            <w:r w:rsidR="0018292B">
              <w:t xml:space="preserve"> </w:t>
            </w:r>
            <w:r w:rsidR="49E1BF3B" w:rsidRPr="0018292B">
              <w:t>(</w:t>
            </w:r>
            <w:r w:rsidRPr="0018292B">
              <w:t>chapter 4.2</w:t>
            </w:r>
            <w:r w:rsidR="3C947C95" w:rsidRPr="0018292B">
              <w:t>),</w:t>
            </w:r>
            <w:r w:rsidRPr="0018292B">
              <w:t xml:space="preserve"> should be followed and described in the EAP (it can be adapted to the respective context)</w:t>
            </w:r>
            <w:r w:rsidR="6F82749F" w:rsidRPr="0018292B">
              <w:t xml:space="preserve">. </w:t>
            </w:r>
            <w:r w:rsidR="474E5645" w:rsidRPr="0018292B">
              <w:t xml:space="preserve">If some disaster impacts are not </w:t>
            </w:r>
            <w:r w:rsidR="001D6A77" w:rsidRPr="001D6A77">
              <w:t>addressed,</w:t>
            </w:r>
            <w:r w:rsidR="474E5645" w:rsidRPr="001D6A77">
              <w:t xml:space="preserve"> a</w:t>
            </w:r>
            <w:r w:rsidR="426762E0" w:rsidRPr="001D6A77">
              <w:t>n</w:t>
            </w:r>
            <w:r w:rsidR="474E5645" w:rsidRPr="001D6A77">
              <w:t xml:space="preserve"> explanation should be provided an</w:t>
            </w:r>
            <w:r w:rsidR="0FDA53A9" w:rsidRPr="001D6A77">
              <w:t>d</w:t>
            </w:r>
            <w:r w:rsidR="001D6A77" w:rsidRPr="001D6A77">
              <w:t xml:space="preserve"> </w:t>
            </w:r>
            <w:r w:rsidR="474E5645" w:rsidRPr="001D6A77">
              <w:rPr>
                <w:color w:val="000000" w:themeColor="text1"/>
                <w:lang w:val="en-US"/>
              </w:rPr>
              <w:t>also indica</w:t>
            </w:r>
            <w:r w:rsidR="10375553" w:rsidRPr="001D6A77">
              <w:rPr>
                <w:color w:val="000000" w:themeColor="text1"/>
                <w:lang w:val="en-US"/>
              </w:rPr>
              <w:t>te</w:t>
            </w:r>
            <w:r w:rsidR="474E5645" w:rsidRPr="001D6A77">
              <w:rPr>
                <w:color w:val="000000" w:themeColor="text1"/>
                <w:lang w:val="en-US"/>
              </w:rPr>
              <w:t xml:space="preserve"> which actions were considered but not chosen </w:t>
            </w:r>
          </w:p>
          <w:p w14:paraId="60BB93FB" w14:textId="16317150" w:rsidR="002A269A" w:rsidRPr="007A441B" w:rsidRDefault="002A269A" w:rsidP="4A435ECE">
            <w:pPr>
              <w:widowControl w:val="0"/>
              <w:spacing w:line="240" w:lineRule="auto"/>
            </w:pPr>
          </w:p>
        </w:tc>
      </w:tr>
      <w:tr w:rsidR="004A37A6" w14:paraId="76E3BEF9" w14:textId="77777777" w:rsidTr="6A72DC1B">
        <w:tc>
          <w:tcPr>
            <w:tcW w:w="6511" w:type="dxa"/>
            <w:shd w:val="clear" w:color="auto" w:fill="auto"/>
            <w:tcMar>
              <w:top w:w="100" w:type="dxa"/>
              <w:left w:w="100" w:type="dxa"/>
              <w:bottom w:w="100" w:type="dxa"/>
              <w:right w:w="100" w:type="dxa"/>
            </w:tcMar>
          </w:tcPr>
          <w:p w14:paraId="2A587CD5" w14:textId="77777777" w:rsidR="00962F09" w:rsidRDefault="247378A5" w:rsidP="004A37A6">
            <w:pPr>
              <w:widowControl w:val="0"/>
              <w:spacing w:line="240" w:lineRule="auto"/>
            </w:pPr>
            <w:r>
              <w:lastRenderedPageBreak/>
              <w:t xml:space="preserve">For each early action selected, the EAP must include a Theory of Change and show that the action chosen is appropriate to reduce the specific risk. </w:t>
            </w:r>
            <w:r w:rsidRPr="4A435ECE">
              <w:rPr>
                <w:lang w:val="en-US"/>
              </w:rPr>
              <w:t xml:space="preserve">Selected actions should be </w:t>
            </w:r>
            <w:r w:rsidRPr="4A435ECE">
              <w:rPr>
                <w:lang w:val="en-GB"/>
              </w:rPr>
              <w:t>socially acceptable according to the context</w:t>
            </w:r>
            <w:r w:rsidR="1A016230" w:rsidRPr="4A435ECE">
              <w:rPr>
                <w:lang w:val="en-GB"/>
              </w:rPr>
              <w:t xml:space="preserve"> and there should be evidence of its effectiveness</w:t>
            </w:r>
            <w:r>
              <w:t>.</w:t>
            </w:r>
            <w:r w:rsidR="37595279">
              <w:t xml:space="preserve"> </w:t>
            </w:r>
          </w:p>
          <w:p w14:paraId="345A5D03" w14:textId="77777777" w:rsidR="00962F09" w:rsidRDefault="00962F09" w:rsidP="004A37A6">
            <w:pPr>
              <w:widowControl w:val="0"/>
              <w:spacing w:line="240" w:lineRule="auto"/>
            </w:pPr>
          </w:p>
          <w:p w14:paraId="47D5AA59" w14:textId="1FB9C229" w:rsidR="004A37A6" w:rsidRDefault="37595279" w:rsidP="004A37A6">
            <w:pPr>
              <w:widowControl w:val="0"/>
              <w:spacing w:line="240" w:lineRule="auto"/>
            </w:pPr>
            <w:r w:rsidRPr="0753BF62">
              <w:rPr>
                <w:b/>
              </w:rPr>
              <w:t>(Section 5.1 EAP template – Early Action Selection Process</w:t>
            </w:r>
            <w:r w:rsidR="71226F8F" w:rsidRPr="0753BF62">
              <w:rPr>
                <w:b/>
              </w:rPr>
              <w:t xml:space="preserve"> and Section 5.2 EAP template </w:t>
            </w:r>
            <w:r w:rsidR="2E2F5BC5" w:rsidRPr="0753BF62">
              <w:rPr>
                <w:b/>
              </w:rPr>
              <w:t>– Evidence base</w:t>
            </w:r>
            <w:r w:rsidRPr="0753BF62">
              <w:rPr>
                <w:b/>
              </w:rPr>
              <w:t>)</w:t>
            </w:r>
          </w:p>
        </w:tc>
        <w:tc>
          <w:tcPr>
            <w:tcW w:w="8788" w:type="dxa"/>
          </w:tcPr>
          <w:p w14:paraId="73A9C6F4" w14:textId="77777777" w:rsidR="004A37A6" w:rsidRDefault="247378A5" w:rsidP="4A435ECE">
            <w:pPr>
              <w:widowControl w:val="0"/>
              <w:spacing w:line="240" w:lineRule="auto"/>
            </w:pPr>
            <w:r>
              <w:t xml:space="preserve">If evidence is available, it should ideally show that the action has reduced impact in prior </w:t>
            </w:r>
            <w:r w:rsidR="1BC2A8D7">
              <w:t xml:space="preserve">(test or real) </w:t>
            </w:r>
            <w:r>
              <w:t xml:space="preserve">activations. In case evidence is available, there should be a description on the effectiveness of the action in reducing the targeted impact. </w:t>
            </w:r>
          </w:p>
          <w:p w14:paraId="3950D2E8" w14:textId="77777777" w:rsidR="00CC044F" w:rsidRDefault="00CC044F" w:rsidP="4A435ECE">
            <w:pPr>
              <w:widowControl w:val="0"/>
              <w:spacing w:line="240" w:lineRule="auto"/>
            </w:pPr>
          </w:p>
          <w:p w14:paraId="6AF4EA4D" w14:textId="0EAE1296" w:rsidR="00CC044F" w:rsidRPr="005A0457" w:rsidRDefault="00CC044F" w:rsidP="00CC044F">
            <w:pPr>
              <w:widowControl w:val="0"/>
              <w:spacing w:line="240" w:lineRule="auto"/>
              <w:rPr>
                <w:color w:val="351C75"/>
              </w:rPr>
            </w:pPr>
            <w:r>
              <w:t>If evidence it´s not available, the EAP should describe in detail how they foresee that the action chosen will reduce the specific risk.</w:t>
            </w:r>
          </w:p>
        </w:tc>
      </w:tr>
      <w:tr w:rsidR="00D3623A" w14:paraId="32AE2868" w14:textId="77777777" w:rsidTr="6A72DC1B">
        <w:tc>
          <w:tcPr>
            <w:tcW w:w="6511" w:type="dxa"/>
            <w:shd w:val="clear" w:color="auto" w:fill="auto"/>
            <w:tcMar>
              <w:top w:w="100" w:type="dxa"/>
              <w:left w:w="100" w:type="dxa"/>
              <w:bottom w:w="100" w:type="dxa"/>
              <w:right w:w="100" w:type="dxa"/>
            </w:tcMar>
          </w:tcPr>
          <w:p w14:paraId="70E19F97" w14:textId="09AF05D3" w:rsidR="00D3623A" w:rsidRDefault="0FA44B0E" w:rsidP="00D3623A">
            <w:pPr>
              <w:widowControl w:val="0"/>
              <w:spacing w:line="240" w:lineRule="auto"/>
            </w:pPr>
            <w:r>
              <w:t xml:space="preserve">Actions are implemented in the window between the forecast and the impact of the extreme event. </w:t>
            </w:r>
          </w:p>
          <w:p w14:paraId="1A7F18F1" w14:textId="77777777" w:rsidR="00962F09" w:rsidRDefault="00962F09" w:rsidP="00D3623A">
            <w:pPr>
              <w:widowControl w:val="0"/>
              <w:spacing w:line="240" w:lineRule="auto"/>
            </w:pPr>
          </w:p>
          <w:p w14:paraId="57286A59" w14:textId="41FF39C0" w:rsidR="00D3623A" w:rsidRDefault="3D820779" w:rsidP="00D3623A">
            <w:pPr>
              <w:widowControl w:val="0"/>
              <w:spacing w:line="240" w:lineRule="auto"/>
              <w:rPr>
                <w:b/>
              </w:rPr>
            </w:pPr>
            <w:r w:rsidRPr="0753BF62">
              <w:rPr>
                <w:b/>
              </w:rPr>
              <w:t>(Section 5.5</w:t>
            </w:r>
            <w:r w:rsidR="0AB6756E" w:rsidRPr="0753BF62">
              <w:rPr>
                <w:b/>
              </w:rPr>
              <w:t xml:space="preserve"> EAP template – Feasibility)</w:t>
            </w:r>
          </w:p>
        </w:tc>
        <w:tc>
          <w:tcPr>
            <w:tcW w:w="8788" w:type="dxa"/>
          </w:tcPr>
          <w:p w14:paraId="2138405F" w14:textId="06E87F97" w:rsidR="00D3623A" w:rsidRPr="006D770C" w:rsidRDefault="0FA44B0E" w:rsidP="00D3623A">
            <w:pPr>
              <w:widowControl w:val="0"/>
              <w:spacing w:line="240" w:lineRule="auto"/>
            </w:pPr>
            <w:r w:rsidRPr="006D770C">
              <w:t>It needs to be shown that actions can be implemented in the lead time provided by the forecast with enough time for the population to make use of the assistance received.</w:t>
            </w:r>
          </w:p>
          <w:p w14:paraId="009D16B3" w14:textId="76BE7DF0" w:rsidR="00D3623A" w:rsidRPr="006D770C" w:rsidRDefault="00D3623A" w:rsidP="4A435ECE">
            <w:pPr>
              <w:widowControl w:val="0"/>
              <w:spacing w:line="240" w:lineRule="auto"/>
            </w:pPr>
          </w:p>
          <w:p w14:paraId="05702548" w14:textId="6DC317AA" w:rsidR="000D0681" w:rsidRDefault="000D0681" w:rsidP="000D0681">
            <w:pPr>
              <w:widowControl w:val="0"/>
              <w:spacing w:line="240" w:lineRule="auto"/>
              <w:rPr>
                <w:sz w:val="21"/>
                <w:szCs w:val="21"/>
              </w:rPr>
            </w:pPr>
            <w:r>
              <w:t xml:space="preserve">For slow onset disasters, the timing of impact may need to be interpreted as the timing of an expected spike in impacts or the expected peak of impacts, but the actions would still have to be early enough to reduce impact. </w:t>
            </w:r>
            <w:r>
              <w:rPr>
                <w:sz w:val="21"/>
                <w:szCs w:val="21"/>
              </w:rPr>
              <w:t xml:space="preserve">In the case of </w:t>
            </w:r>
            <w:r w:rsidR="00962F09">
              <w:rPr>
                <w:sz w:val="21"/>
                <w:szCs w:val="21"/>
              </w:rPr>
              <w:t>drought,</w:t>
            </w:r>
            <w:r>
              <w:rPr>
                <w:sz w:val="21"/>
                <w:szCs w:val="21"/>
              </w:rPr>
              <w:t xml:space="preserve"> we will need flexibility as it is </w:t>
            </w:r>
            <w:r>
              <w:t>challenging to identify this specific moment. Each would be context specific.</w:t>
            </w:r>
            <w:r>
              <w:rPr>
                <w:sz w:val="21"/>
                <w:szCs w:val="21"/>
              </w:rPr>
              <w:t xml:space="preserve"> </w:t>
            </w:r>
          </w:p>
          <w:p w14:paraId="4484B8B1" w14:textId="0E5C492E" w:rsidR="00D3623A" w:rsidRDefault="00D3623A" w:rsidP="006D770C">
            <w:pPr>
              <w:widowControl w:val="0"/>
              <w:spacing w:line="240" w:lineRule="auto"/>
              <w:rPr>
                <w:sz w:val="21"/>
                <w:szCs w:val="21"/>
              </w:rPr>
            </w:pPr>
          </w:p>
        </w:tc>
      </w:tr>
      <w:tr w:rsidR="000A7578" w14:paraId="30A4542C" w14:textId="77777777" w:rsidTr="6A72DC1B">
        <w:tc>
          <w:tcPr>
            <w:tcW w:w="6511" w:type="dxa"/>
            <w:shd w:val="clear" w:color="auto" w:fill="auto"/>
            <w:tcMar>
              <w:top w:w="100" w:type="dxa"/>
              <w:left w:w="100" w:type="dxa"/>
              <w:bottom w:w="100" w:type="dxa"/>
              <w:right w:w="100" w:type="dxa"/>
            </w:tcMar>
          </w:tcPr>
          <w:p w14:paraId="3B0A1308" w14:textId="706FD974" w:rsidR="000A7578" w:rsidRDefault="000A7578" w:rsidP="0753BF62">
            <w:pPr>
              <w:widowControl w:val="0"/>
              <w:spacing w:line="240" w:lineRule="auto"/>
            </w:pPr>
            <w:r>
              <w:t>The EAP support the Principles of “</w:t>
            </w:r>
            <w:hyperlink r:id="rId12">
              <w:r w:rsidR="748CAAE9" w:rsidRPr="0753BF62">
                <w:rPr>
                  <w:rStyle w:val="Hyperlink"/>
                </w:rPr>
                <w:t>Good Humanitarian Donorship</w:t>
              </w:r>
            </w:hyperlink>
            <w:r>
              <w:t xml:space="preserve">” and “Do No Harm” </w:t>
            </w:r>
          </w:p>
          <w:p w14:paraId="0DF62B5C" w14:textId="77777777" w:rsidR="00962F09" w:rsidRPr="4A435ECE" w:rsidRDefault="00962F09" w:rsidP="0753BF62">
            <w:pPr>
              <w:widowControl w:val="0"/>
              <w:spacing w:line="240" w:lineRule="auto"/>
              <w:rPr>
                <w:lang w:val="en-US"/>
              </w:rPr>
            </w:pPr>
          </w:p>
          <w:p w14:paraId="12FC8602" w14:textId="7F331C36" w:rsidR="000A7578" w:rsidRPr="4A435ECE" w:rsidRDefault="748CAAE9" w:rsidP="000A7578">
            <w:pPr>
              <w:widowControl w:val="0"/>
              <w:spacing w:line="240" w:lineRule="auto"/>
              <w:rPr>
                <w:b/>
                <w:lang w:val="en-US"/>
              </w:rPr>
            </w:pPr>
            <w:r w:rsidRPr="0753BF62">
              <w:rPr>
                <w:b/>
                <w:bCs/>
              </w:rPr>
              <w:t>(</w:t>
            </w:r>
            <w:r w:rsidR="6975E643" w:rsidRPr="0753BF62">
              <w:rPr>
                <w:b/>
                <w:bCs/>
              </w:rPr>
              <w:t>S</w:t>
            </w:r>
            <w:r w:rsidRPr="0753BF62">
              <w:rPr>
                <w:b/>
                <w:bCs/>
              </w:rPr>
              <w:t>ection</w:t>
            </w:r>
            <w:r w:rsidR="000A7578" w:rsidRPr="0753BF62">
              <w:rPr>
                <w:b/>
              </w:rPr>
              <w:t xml:space="preserve"> 5.4 EAP template</w:t>
            </w:r>
            <w:r w:rsidR="002105B1" w:rsidRPr="0753BF62">
              <w:rPr>
                <w:b/>
              </w:rPr>
              <w:t xml:space="preserve"> 5.4 - Usefulness of actions in case of non-occurring event</w:t>
            </w:r>
            <w:r w:rsidR="000A7578" w:rsidRPr="0753BF62">
              <w:rPr>
                <w:b/>
              </w:rPr>
              <w:t>)</w:t>
            </w:r>
          </w:p>
        </w:tc>
        <w:tc>
          <w:tcPr>
            <w:tcW w:w="8788" w:type="dxa"/>
          </w:tcPr>
          <w:p w14:paraId="7CADBFCF" w14:textId="77777777" w:rsidR="000A7578" w:rsidRPr="007B1BBC" w:rsidRDefault="000A7578" w:rsidP="000A7578">
            <w:pPr>
              <w:widowControl w:val="0"/>
              <w:spacing w:line="240" w:lineRule="auto"/>
            </w:pPr>
          </w:p>
        </w:tc>
      </w:tr>
      <w:tr w:rsidR="000A7578" w14:paraId="63F74B18" w14:textId="77777777" w:rsidTr="6A72DC1B">
        <w:tc>
          <w:tcPr>
            <w:tcW w:w="6511" w:type="dxa"/>
            <w:shd w:val="clear" w:color="auto" w:fill="auto"/>
            <w:tcMar>
              <w:top w:w="100" w:type="dxa"/>
              <w:left w:w="100" w:type="dxa"/>
              <w:bottom w:w="100" w:type="dxa"/>
              <w:right w:w="100" w:type="dxa"/>
            </w:tcMar>
          </w:tcPr>
          <w:p w14:paraId="631F5E78" w14:textId="37EA1169" w:rsidR="000A7578" w:rsidRDefault="000A7578" w:rsidP="0753BF62">
            <w:pPr>
              <w:widowControl w:val="0"/>
              <w:spacing w:line="240" w:lineRule="auto"/>
              <w:rPr>
                <w:lang w:val="en-US"/>
              </w:rPr>
            </w:pPr>
            <w:r w:rsidRPr="4A435ECE">
              <w:rPr>
                <w:lang w:val="en-US"/>
              </w:rPr>
              <w:t xml:space="preserve">The EAP includes an operational matrix </w:t>
            </w:r>
            <w:r>
              <w:rPr>
                <w:lang w:val="en-US"/>
              </w:rPr>
              <w:t xml:space="preserve">with the activities to be implemented </w:t>
            </w:r>
            <w:r w:rsidRPr="4A435ECE">
              <w:rPr>
                <w:lang w:val="en-US"/>
              </w:rPr>
              <w:t xml:space="preserve">according to the IFRC focus areas </w:t>
            </w:r>
            <w:r>
              <w:rPr>
                <w:lang w:val="en-US"/>
              </w:rPr>
              <w:t xml:space="preserve">and strategies for implementation </w:t>
            </w:r>
          </w:p>
          <w:p w14:paraId="29AAAA55" w14:textId="77777777" w:rsidR="00962F09" w:rsidRDefault="00962F09" w:rsidP="0753BF62">
            <w:pPr>
              <w:widowControl w:val="0"/>
              <w:spacing w:line="240" w:lineRule="auto"/>
              <w:rPr>
                <w:lang w:val="en-US"/>
              </w:rPr>
            </w:pPr>
          </w:p>
          <w:p w14:paraId="4B1FB46B" w14:textId="56D1383A" w:rsidR="000A7578" w:rsidRDefault="000A7578" w:rsidP="000A7578">
            <w:pPr>
              <w:widowControl w:val="0"/>
              <w:spacing w:line="240" w:lineRule="auto"/>
              <w:rPr>
                <w:lang w:val="en-US"/>
              </w:rPr>
            </w:pPr>
            <w:r w:rsidRPr="0753BF62">
              <w:rPr>
                <w:b/>
                <w:lang w:val="en-US"/>
              </w:rPr>
              <w:t xml:space="preserve">(Section 5.3 EAP template - IFRC </w:t>
            </w:r>
            <w:r w:rsidR="00F621C6">
              <w:rPr>
                <w:b/>
                <w:lang w:val="en-US"/>
              </w:rPr>
              <w:t>Operational Strategy</w:t>
            </w:r>
            <w:r w:rsidRPr="0753BF62">
              <w:rPr>
                <w:b/>
                <w:lang w:val="en-US"/>
              </w:rPr>
              <w:t>)</w:t>
            </w:r>
            <w:r w:rsidRPr="4A435ECE">
              <w:rPr>
                <w:lang w:val="en-US"/>
              </w:rPr>
              <w:t xml:space="preserve"> </w:t>
            </w:r>
          </w:p>
        </w:tc>
        <w:tc>
          <w:tcPr>
            <w:tcW w:w="8788" w:type="dxa"/>
          </w:tcPr>
          <w:p w14:paraId="1A594B6F" w14:textId="2DA2958D" w:rsidR="000A7578" w:rsidRDefault="000A7578" w:rsidP="000A7578">
            <w:pPr>
              <w:widowControl w:val="0"/>
              <w:spacing w:line="240" w:lineRule="auto"/>
            </w:pPr>
            <w:r w:rsidRPr="007B1BBC">
              <w:t xml:space="preserve">To facilitate the overview of all the actions to be taken by sector and their timeline, </w:t>
            </w:r>
            <w:r>
              <w:t xml:space="preserve">an </w:t>
            </w:r>
            <w:r w:rsidRPr="007B1BBC">
              <w:t xml:space="preserve">operational matrix </w:t>
            </w:r>
            <w:r>
              <w:t>should be used</w:t>
            </w:r>
            <w:r w:rsidRPr="007B1BBC">
              <w:t>. This operational matrix follows the IFRC programming framework, which should be aligned with the structure of the EAP budget</w:t>
            </w:r>
            <w:r>
              <w:t>.</w:t>
            </w:r>
          </w:p>
        </w:tc>
      </w:tr>
      <w:tr w:rsidR="0050210D" w14:paraId="751A202E" w14:textId="77777777" w:rsidTr="6A72DC1B">
        <w:tc>
          <w:tcPr>
            <w:tcW w:w="6511" w:type="dxa"/>
            <w:shd w:val="clear" w:color="auto" w:fill="auto"/>
            <w:tcMar>
              <w:top w:w="100" w:type="dxa"/>
              <w:left w:w="100" w:type="dxa"/>
              <w:bottom w:w="100" w:type="dxa"/>
              <w:right w:w="100" w:type="dxa"/>
            </w:tcMar>
          </w:tcPr>
          <w:p w14:paraId="463B10A8" w14:textId="1087CD52" w:rsidR="0050210D" w:rsidRDefault="0050210D" w:rsidP="0753BF62">
            <w:pPr>
              <w:widowControl w:val="0"/>
              <w:spacing w:line="240" w:lineRule="auto"/>
              <w:rPr>
                <w:lang w:val="en-US"/>
              </w:rPr>
            </w:pPr>
            <w:r>
              <w:t xml:space="preserve">If relevant for the type of intervention, actions are in line with accepted international and/or national standards, regulations, laws for the relevant sector. E.g. </w:t>
            </w:r>
            <w:hyperlink r:id="rId13">
              <w:r w:rsidR="6D4BEFD4" w:rsidRPr="0753BF62">
                <w:rPr>
                  <w:rStyle w:val="Hyperlink"/>
                </w:rPr>
                <w:t>SPHERE</w:t>
              </w:r>
            </w:hyperlink>
            <w:r w:rsidRPr="4A435ECE">
              <w:rPr>
                <w:lang w:val="en-US"/>
              </w:rPr>
              <w:t xml:space="preserve">, </w:t>
            </w:r>
            <w:hyperlink r:id="rId14">
              <w:r w:rsidRPr="4A435ECE">
                <w:rPr>
                  <w:rStyle w:val="Hyperlink"/>
                  <w:lang w:val="en-US"/>
                </w:rPr>
                <w:t>LEGS</w:t>
              </w:r>
            </w:hyperlink>
            <w:r w:rsidRPr="4A435ECE">
              <w:rPr>
                <w:lang w:val="en-US"/>
              </w:rPr>
              <w:t xml:space="preserve">, </w:t>
            </w:r>
            <w:hyperlink r:id="rId15">
              <w:r w:rsidRPr="4A435ECE">
                <w:rPr>
                  <w:rStyle w:val="Hyperlink"/>
                </w:rPr>
                <w:t>Minimum standards for protection, gender and inclusion in emergencies</w:t>
              </w:r>
            </w:hyperlink>
            <w:r w:rsidRPr="4A435ECE">
              <w:rPr>
                <w:lang w:val="en-US"/>
              </w:rPr>
              <w:t xml:space="preserve">. </w:t>
            </w:r>
          </w:p>
          <w:p w14:paraId="44DC6B53" w14:textId="77777777" w:rsidR="00F621C6" w:rsidRPr="4A435ECE" w:rsidRDefault="00F621C6" w:rsidP="0753BF62">
            <w:pPr>
              <w:widowControl w:val="0"/>
              <w:spacing w:line="240" w:lineRule="auto"/>
              <w:rPr>
                <w:lang w:val="en-US"/>
              </w:rPr>
            </w:pPr>
          </w:p>
          <w:p w14:paraId="3CEEEFF8" w14:textId="0A058339" w:rsidR="0050210D" w:rsidRPr="4A435ECE" w:rsidRDefault="0050210D" w:rsidP="000A7578">
            <w:pPr>
              <w:widowControl w:val="0"/>
              <w:spacing w:line="240" w:lineRule="auto"/>
              <w:rPr>
                <w:b/>
                <w:lang w:val="en-US"/>
              </w:rPr>
            </w:pPr>
            <w:r w:rsidRPr="0753BF62">
              <w:rPr>
                <w:b/>
                <w:lang w:val="en-US"/>
              </w:rPr>
              <w:t xml:space="preserve">(Section 5.3 EAP template - IFRC </w:t>
            </w:r>
            <w:r w:rsidR="00F621C6">
              <w:rPr>
                <w:b/>
                <w:lang w:val="en-US"/>
              </w:rPr>
              <w:t>Operational Strategy</w:t>
            </w:r>
            <w:r w:rsidRPr="0753BF62">
              <w:rPr>
                <w:b/>
                <w:lang w:val="en-US"/>
              </w:rPr>
              <w:t>)</w:t>
            </w:r>
          </w:p>
        </w:tc>
        <w:tc>
          <w:tcPr>
            <w:tcW w:w="8788" w:type="dxa"/>
          </w:tcPr>
          <w:p w14:paraId="3578C494" w14:textId="77777777" w:rsidR="0050210D" w:rsidRPr="007B1BBC" w:rsidRDefault="0050210D" w:rsidP="000A7578">
            <w:pPr>
              <w:widowControl w:val="0"/>
              <w:spacing w:line="240" w:lineRule="auto"/>
            </w:pPr>
          </w:p>
        </w:tc>
      </w:tr>
      <w:tr w:rsidR="000A7578" w14:paraId="442912ED" w14:textId="77777777" w:rsidTr="6A72DC1B">
        <w:tc>
          <w:tcPr>
            <w:tcW w:w="6511" w:type="dxa"/>
            <w:shd w:val="clear" w:color="auto" w:fill="auto"/>
            <w:tcMar>
              <w:top w:w="100" w:type="dxa"/>
              <w:left w:w="100" w:type="dxa"/>
              <w:bottom w:w="100" w:type="dxa"/>
              <w:right w:w="100" w:type="dxa"/>
            </w:tcMar>
          </w:tcPr>
          <w:p w14:paraId="6A36BA44" w14:textId="25096DFE" w:rsidR="000A7578" w:rsidRDefault="000A7578" w:rsidP="000A7578">
            <w:pPr>
              <w:widowControl w:val="0"/>
              <w:spacing w:line="240" w:lineRule="auto"/>
            </w:pPr>
            <w:r>
              <w:lastRenderedPageBreak/>
              <w:t xml:space="preserve">The EAP includes a 4W description indicating who does what, where, and when. This should include also actors outside the structure of the National Society. </w:t>
            </w:r>
          </w:p>
          <w:p w14:paraId="75CD770C" w14:textId="77777777" w:rsidR="003C5160" w:rsidRDefault="003C5160" w:rsidP="000A7578">
            <w:pPr>
              <w:widowControl w:val="0"/>
              <w:spacing w:line="240" w:lineRule="auto"/>
            </w:pPr>
          </w:p>
          <w:p w14:paraId="7AA07310" w14:textId="388BF117" w:rsidR="000A7578" w:rsidRDefault="000A7578" w:rsidP="000A7578">
            <w:pPr>
              <w:widowControl w:val="0"/>
              <w:spacing w:line="240" w:lineRule="auto"/>
              <w:rPr>
                <w:b/>
              </w:rPr>
            </w:pPr>
            <w:r w:rsidRPr="0753BF62">
              <w:rPr>
                <w:b/>
              </w:rPr>
              <w:t>(Section 6.1 EAP template – Early Action implementation process)</w:t>
            </w:r>
          </w:p>
        </w:tc>
        <w:tc>
          <w:tcPr>
            <w:tcW w:w="8788" w:type="dxa"/>
          </w:tcPr>
          <w:p w14:paraId="786B36FA" w14:textId="4F54FA20" w:rsidR="000A7578" w:rsidRDefault="000A7578" w:rsidP="000A7578">
            <w:pPr>
              <w:widowControl w:val="0"/>
              <w:spacing w:line="240" w:lineRule="auto"/>
            </w:pPr>
            <w:r w:rsidRPr="00B30729">
              <w:t>The described implementation process shows that each step of the activation has been thought through and considered and that implementation in the lead time available is possible. The set of tasks described in this section should cover all activities from the moment the trigger is reached (Day 1) to the completion of post-impact surveys (Day X).</w:t>
            </w:r>
          </w:p>
        </w:tc>
      </w:tr>
      <w:tr w:rsidR="000A7578" w14:paraId="43570CBE" w14:textId="77777777" w:rsidTr="6A72DC1B">
        <w:tc>
          <w:tcPr>
            <w:tcW w:w="6511" w:type="dxa"/>
            <w:shd w:val="clear" w:color="auto" w:fill="000000" w:themeFill="text1"/>
            <w:tcMar>
              <w:top w:w="100" w:type="dxa"/>
              <w:left w:w="100" w:type="dxa"/>
              <w:bottom w:w="100" w:type="dxa"/>
              <w:right w:w="100" w:type="dxa"/>
            </w:tcMar>
          </w:tcPr>
          <w:p w14:paraId="7C465C64" w14:textId="2D78D8CE" w:rsidR="000A7578" w:rsidRPr="00354088" w:rsidRDefault="000A7578" w:rsidP="000A7578">
            <w:pPr>
              <w:widowControl w:val="0"/>
              <w:spacing w:line="240" w:lineRule="auto"/>
              <w:rPr>
                <w:color w:val="FFFFFF" w:themeColor="background1"/>
                <w:sz w:val="28"/>
                <w:szCs w:val="28"/>
              </w:rPr>
            </w:pPr>
            <w:r w:rsidRPr="00354088">
              <w:rPr>
                <w:color w:val="FFFFFF" w:themeColor="background1"/>
                <w:sz w:val="28"/>
                <w:szCs w:val="28"/>
              </w:rPr>
              <w:t>EAP activation</w:t>
            </w:r>
          </w:p>
        </w:tc>
        <w:tc>
          <w:tcPr>
            <w:tcW w:w="8788" w:type="dxa"/>
            <w:shd w:val="clear" w:color="auto" w:fill="000000" w:themeFill="text1"/>
          </w:tcPr>
          <w:p w14:paraId="32535E57" w14:textId="5DAA9511" w:rsidR="000A7578" w:rsidRPr="00354088" w:rsidRDefault="000A7578" w:rsidP="000A7578">
            <w:pPr>
              <w:widowControl w:val="0"/>
              <w:spacing w:line="240" w:lineRule="auto"/>
              <w:rPr>
                <w:color w:val="FFFFFF" w:themeColor="background1"/>
                <w:sz w:val="28"/>
                <w:szCs w:val="28"/>
              </w:rPr>
            </w:pPr>
            <w:r w:rsidRPr="00354088">
              <w:rPr>
                <w:color w:val="FFFFFF" w:themeColor="background1"/>
                <w:sz w:val="28"/>
                <w:szCs w:val="28"/>
              </w:rPr>
              <w:t>Comments</w:t>
            </w:r>
          </w:p>
        </w:tc>
      </w:tr>
      <w:tr w:rsidR="000A7578" w14:paraId="2788C22E" w14:textId="77777777" w:rsidTr="6A72DC1B">
        <w:tc>
          <w:tcPr>
            <w:tcW w:w="6511" w:type="dxa"/>
            <w:shd w:val="clear" w:color="auto" w:fill="auto"/>
            <w:tcMar>
              <w:top w:w="100" w:type="dxa"/>
              <w:left w:w="100" w:type="dxa"/>
              <w:bottom w:w="100" w:type="dxa"/>
              <w:right w:w="100" w:type="dxa"/>
            </w:tcMar>
          </w:tcPr>
          <w:p w14:paraId="43959A57" w14:textId="665CF607" w:rsidR="000A7578" w:rsidRDefault="000A7578" w:rsidP="000A7578">
            <w:pPr>
              <w:widowControl w:val="0"/>
              <w:spacing w:line="240" w:lineRule="auto"/>
            </w:pPr>
            <w:r>
              <w:t xml:space="preserve">There is a </w:t>
            </w:r>
            <w:r w:rsidRPr="4A435ECE">
              <w:rPr>
                <w:lang w:val="en-US"/>
              </w:rPr>
              <w:t>mechanism</w:t>
            </w:r>
            <w:r>
              <w:t xml:space="preserve"> in place to monitor the forecasts (ad /or trigger related indicators) and alert relevant actors as soon as a trigger is reached</w:t>
            </w:r>
            <w:r w:rsidRPr="4A435ECE">
              <w:rPr>
                <w:lang w:val="en-US"/>
              </w:rPr>
              <w:t xml:space="preserve"> to initiate the early actions. This implies that t</w:t>
            </w:r>
            <w:r>
              <w:t>he process to trigger the FbF system is clearly understood by all the key staff of the NS and relevant partners.</w:t>
            </w:r>
          </w:p>
          <w:p w14:paraId="17574F53" w14:textId="77777777" w:rsidR="003C5160" w:rsidRDefault="003C5160" w:rsidP="000A7578">
            <w:pPr>
              <w:widowControl w:val="0"/>
              <w:spacing w:line="240" w:lineRule="auto"/>
            </w:pPr>
          </w:p>
          <w:p w14:paraId="06A13DE2" w14:textId="091C9302" w:rsidR="000A7578" w:rsidRDefault="000A7578" w:rsidP="000A7578">
            <w:pPr>
              <w:widowControl w:val="0"/>
              <w:spacing w:line="240" w:lineRule="auto"/>
              <w:rPr>
                <w:b/>
              </w:rPr>
            </w:pPr>
            <w:r w:rsidRPr="0753BF62">
              <w:rPr>
                <w:b/>
              </w:rPr>
              <w:t>(Section 6.2 EAP template - Trigger activation system)</w:t>
            </w:r>
          </w:p>
        </w:tc>
        <w:tc>
          <w:tcPr>
            <w:tcW w:w="8788" w:type="dxa"/>
          </w:tcPr>
          <w:p w14:paraId="04E2E64D" w14:textId="77777777" w:rsidR="00C37D5D" w:rsidRDefault="00C37D5D" w:rsidP="00C37D5D">
            <w:pPr>
              <w:widowControl w:val="0"/>
              <w:spacing w:line="240" w:lineRule="auto"/>
              <w:jc w:val="both"/>
            </w:pPr>
            <w:r>
              <w:t>Ideally, there is a system in place to automatically monitor the forecasts and send an automatic message of alert to relevant actors as soon as a trigger is reached. It is expected that this will be executed by the national meteorological office and/or national DRM authority. If this automatic system does not exist, a mechanism needs to be in place to monitor the forecasts/indicators and alert relevant actors as soon as a trigger is reached to initiate the early actions</w:t>
            </w:r>
          </w:p>
          <w:p w14:paraId="0FA9C89B" w14:textId="77777777" w:rsidR="00C37D5D" w:rsidRDefault="00C37D5D" w:rsidP="00C37D5D">
            <w:pPr>
              <w:widowControl w:val="0"/>
              <w:spacing w:line="240" w:lineRule="auto"/>
              <w:jc w:val="both"/>
            </w:pPr>
          </w:p>
          <w:p w14:paraId="7F81915C" w14:textId="77777777" w:rsidR="00C37D5D" w:rsidRDefault="00C37D5D" w:rsidP="00C37D5D">
            <w:pPr>
              <w:widowControl w:val="0"/>
              <w:spacing w:line="240" w:lineRule="auto"/>
              <w:jc w:val="both"/>
              <w:rPr>
                <w:rFonts w:ascii="Roboto" w:eastAsia="Roboto" w:hAnsi="Roboto" w:cs="Roboto"/>
                <w:sz w:val="21"/>
                <w:szCs w:val="21"/>
              </w:rPr>
            </w:pPr>
            <w:r>
              <w:t xml:space="preserve">If the trigger is based on a combination of multiple indicators (e.g. for slow onset hazard) and no suitable product exists yet, the EAP needs to explain who will provide the data and how it will be combined and analyzed. </w:t>
            </w:r>
            <w:r>
              <w:rPr>
                <w:rFonts w:ascii="Roboto" w:eastAsia="Roboto" w:hAnsi="Roboto" w:cs="Roboto"/>
                <w:sz w:val="21"/>
                <w:szCs w:val="21"/>
                <w:highlight w:val="white"/>
              </w:rPr>
              <w:t xml:space="preserve">This may need to be a consortium of institutions, each providing pieces of information, therefore a clear communication mechanism is vital. </w:t>
            </w:r>
          </w:p>
          <w:p w14:paraId="28B27953" w14:textId="77777777" w:rsidR="00C37D5D" w:rsidRDefault="00C37D5D" w:rsidP="00C37D5D">
            <w:pPr>
              <w:widowControl w:val="0"/>
              <w:spacing w:line="240" w:lineRule="auto"/>
              <w:jc w:val="both"/>
              <w:rPr>
                <w:rFonts w:ascii="Roboto" w:eastAsia="Roboto" w:hAnsi="Roboto" w:cs="Roboto"/>
                <w:sz w:val="21"/>
                <w:szCs w:val="21"/>
              </w:rPr>
            </w:pPr>
          </w:p>
          <w:p w14:paraId="72CFC36B" w14:textId="61E52537" w:rsidR="000A7578" w:rsidRPr="00872A2F" w:rsidRDefault="00C37D5D" w:rsidP="00C37D5D">
            <w:pPr>
              <w:widowControl w:val="0"/>
              <w:spacing w:line="240" w:lineRule="auto"/>
              <w:jc w:val="both"/>
            </w:pPr>
            <w:r>
              <w:t>Any risk (e.g. certain data is not collected in time) and mitigation measures (e.g.MOU) should be outlined.</w:t>
            </w:r>
          </w:p>
        </w:tc>
      </w:tr>
      <w:tr w:rsidR="000A7578" w14:paraId="3E0E16D8" w14:textId="77777777" w:rsidTr="6A72DC1B">
        <w:tc>
          <w:tcPr>
            <w:tcW w:w="6511" w:type="dxa"/>
            <w:shd w:val="clear" w:color="auto" w:fill="auto"/>
            <w:tcMar>
              <w:top w:w="100" w:type="dxa"/>
              <w:left w:w="100" w:type="dxa"/>
              <w:bottom w:w="100" w:type="dxa"/>
              <w:right w:w="100" w:type="dxa"/>
            </w:tcMar>
          </w:tcPr>
          <w:p w14:paraId="6416A1DA" w14:textId="32C62ECF" w:rsidR="000A7578" w:rsidRDefault="000A7578" w:rsidP="000A7578">
            <w:r>
              <w:t xml:space="preserve">The EAP clearly explains how the target beneficiaries within the intervention areas will be selected </w:t>
            </w:r>
          </w:p>
          <w:p w14:paraId="77FE9AF4" w14:textId="77777777" w:rsidR="00C21B7D" w:rsidRPr="00543628" w:rsidRDefault="00C21B7D" w:rsidP="000A7578"/>
          <w:p w14:paraId="1C6B1549" w14:textId="1A45AA35" w:rsidR="000A7578" w:rsidRPr="00543628" w:rsidRDefault="000A7578" w:rsidP="000A7578">
            <w:pPr>
              <w:rPr>
                <w:b/>
              </w:rPr>
            </w:pPr>
            <w:r w:rsidRPr="0753BF62">
              <w:rPr>
                <w:b/>
              </w:rPr>
              <w:t>(Section 6.3 EAP template – Selection of target population)</w:t>
            </w:r>
          </w:p>
          <w:p w14:paraId="0A731641" w14:textId="21E781C4" w:rsidR="000A7578" w:rsidRDefault="000A7578" w:rsidP="000A7578">
            <w:pPr>
              <w:jc w:val="both"/>
              <w:rPr>
                <w:i/>
                <w:iCs/>
                <w:color w:val="000000" w:themeColor="text1"/>
                <w:sz w:val="20"/>
                <w:szCs w:val="20"/>
                <w:lang w:val="en-US"/>
              </w:rPr>
            </w:pPr>
          </w:p>
          <w:p w14:paraId="403CB826" w14:textId="77777777" w:rsidR="000A7578" w:rsidRDefault="000A7578" w:rsidP="000A7578">
            <w:pPr>
              <w:widowControl w:val="0"/>
              <w:spacing w:line="240" w:lineRule="auto"/>
            </w:pPr>
          </w:p>
        </w:tc>
        <w:tc>
          <w:tcPr>
            <w:tcW w:w="8788" w:type="dxa"/>
          </w:tcPr>
          <w:p w14:paraId="74716A76" w14:textId="0493F406" w:rsidR="000A7578" w:rsidDel="005F2D39" w:rsidRDefault="000A7578" w:rsidP="000A7578">
            <w:pPr>
              <w:widowControl w:val="0"/>
              <w:spacing w:line="240" w:lineRule="auto"/>
            </w:pPr>
            <w:r>
              <w:t xml:space="preserve">Once an intervention area has been identified, the NS still has to have a clear process to select which households in that area it will provide assistance to. The selection process needs to be feasible within the lead time. </w:t>
            </w:r>
          </w:p>
        </w:tc>
      </w:tr>
      <w:tr w:rsidR="000A7578" w14:paraId="444C80FD" w14:textId="77777777" w:rsidTr="6A72DC1B">
        <w:tc>
          <w:tcPr>
            <w:tcW w:w="6511" w:type="dxa"/>
            <w:shd w:val="clear" w:color="auto" w:fill="auto"/>
            <w:tcMar>
              <w:top w:w="100" w:type="dxa"/>
              <w:left w:w="100" w:type="dxa"/>
              <w:bottom w:w="100" w:type="dxa"/>
              <w:right w:w="100" w:type="dxa"/>
            </w:tcMar>
          </w:tcPr>
          <w:p w14:paraId="6CF0A129" w14:textId="096F86D7" w:rsidR="00C21B7D" w:rsidRPr="00C21B7D" w:rsidRDefault="000A7578" w:rsidP="00C21B7D">
            <w:pPr>
              <w:widowControl w:val="0"/>
              <w:spacing w:line="240" w:lineRule="auto"/>
            </w:pPr>
            <w:r>
              <w:t xml:space="preserve">The EAP includes the description of a stop mechanism </w:t>
            </w:r>
            <w:r>
              <w:rPr>
                <w:lang w:val="en-US"/>
              </w:rPr>
              <w:t>f</w:t>
            </w:r>
            <w:r w:rsidRPr="00CE76B9">
              <w:t>or forecast triggers with a lead time of more than three days</w:t>
            </w:r>
            <w:r>
              <w:t xml:space="preserve">. </w:t>
            </w:r>
            <w:r w:rsidRPr="009306E9">
              <w:t xml:space="preserve">For forecast triggers with a lead time of less than 3 days, the EAP should include the description of what the National Society would do if the forecast changes in strength or location within the </w:t>
            </w:r>
            <w:r w:rsidRPr="009306E9">
              <w:lastRenderedPageBreak/>
              <w:t xml:space="preserve">last three days before the event </w:t>
            </w:r>
          </w:p>
          <w:p w14:paraId="023DB35D" w14:textId="6BDD0DB0" w:rsidR="000A7578" w:rsidRDefault="000A7578" w:rsidP="000A7578">
            <w:pPr>
              <w:widowControl w:val="0"/>
              <w:spacing w:line="240" w:lineRule="auto"/>
              <w:rPr>
                <w:b/>
                <w:lang w:val="en-US"/>
              </w:rPr>
            </w:pPr>
            <w:r w:rsidRPr="0753BF62">
              <w:rPr>
                <w:b/>
              </w:rPr>
              <w:t>(Section 6.4 EAP template – Stop mechanism)</w:t>
            </w:r>
          </w:p>
        </w:tc>
        <w:tc>
          <w:tcPr>
            <w:tcW w:w="8788" w:type="dxa"/>
          </w:tcPr>
          <w:p w14:paraId="4B7DCB99" w14:textId="3147118F" w:rsidR="000A7578" w:rsidRDefault="000A7578" w:rsidP="000A7578">
            <w:pPr>
              <w:widowControl w:val="0"/>
              <w:spacing w:line="240" w:lineRule="auto"/>
            </w:pPr>
            <w:r>
              <w:lastRenderedPageBreak/>
              <w:t>If the forecast triggers action, but then in subsequent days the forecast reduces below the trigger, the action should be able to stop. Exceptions might be accepted if the trigger chosen has a very high probability.</w:t>
            </w:r>
          </w:p>
          <w:p w14:paraId="0E795C37" w14:textId="77777777" w:rsidR="000A7578" w:rsidRPr="007163B8" w:rsidRDefault="000A7578" w:rsidP="000A7578">
            <w:pPr>
              <w:widowControl w:val="0"/>
              <w:spacing w:line="240" w:lineRule="auto"/>
              <w:rPr>
                <w:color w:val="351C75"/>
              </w:rPr>
            </w:pPr>
          </w:p>
          <w:p w14:paraId="1416A88A" w14:textId="60064DFA" w:rsidR="000A7578" w:rsidRPr="00952247" w:rsidRDefault="000A7578" w:rsidP="000A7578">
            <w:pPr>
              <w:widowControl w:val="0"/>
              <w:spacing w:line="240" w:lineRule="auto"/>
            </w:pPr>
            <w:r w:rsidRPr="00952247">
              <w:t xml:space="preserve">In some cases, a stop mechanism may not be possible (very short lead time or limited </w:t>
            </w:r>
            <w:r w:rsidRPr="00952247">
              <w:lastRenderedPageBreak/>
              <w:t>frequency of forecast for seasonal forecast)</w:t>
            </w:r>
          </w:p>
        </w:tc>
      </w:tr>
      <w:tr w:rsidR="00EC6263" w14:paraId="55A94AD5" w14:textId="77777777" w:rsidTr="6A72DC1B">
        <w:tc>
          <w:tcPr>
            <w:tcW w:w="6511" w:type="dxa"/>
            <w:shd w:val="clear" w:color="auto" w:fill="000000" w:themeFill="text1"/>
            <w:tcMar>
              <w:top w:w="100" w:type="dxa"/>
              <w:left w:w="100" w:type="dxa"/>
              <w:bottom w:w="100" w:type="dxa"/>
              <w:right w:w="100" w:type="dxa"/>
            </w:tcMar>
          </w:tcPr>
          <w:p w14:paraId="0C547B4B" w14:textId="77777777" w:rsidR="00EC6263" w:rsidRPr="007127C8" w:rsidRDefault="00EC6263" w:rsidP="005F28F0">
            <w:pPr>
              <w:widowControl w:val="0"/>
              <w:spacing w:line="240" w:lineRule="auto"/>
              <w:rPr>
                <w:color w:val="FFFFFF" w:themeColor="background1"/>
                <w:sz w:val="28"/>
                <w:szCs w:val="28"/>
              </w:rPr>
            </w:pPr>
            <w:r w:rsidRPr="007127C8">
              <w:rPr>
                <w:color w:val="FFFFFF" w:themeColor="background1"/>
                <w:sz w:val="28"/>
                <w:szCs w:val="28"/>
              </w:rPr>
              <w:lastRenderedPageBreak/>
              <w:t>M&amp;E</w:t>
            </w:r>
          </w:p>
        </w:tc>
        <w:tc>
          <w:tcPr>
            <w:tcW w:w="8788" w:type="dxa"/>
            <w:shd w:val="clear" w:color="auto" w:fill="000000" w:themeFill="text1"/>
          </w:tcPr>
          <w:p w14:paraId="200AB408" w14:textId="1B926E34" w:rsidR="00EC6263" w:rsidRPr="007127C8" w:rsidRDefault="59486D83" w:rsidP="005F28F0">
            <w:pPr>
              <w:widowControl w:val="0"/>
              <w:spacing w:line="240" w:lineRule="auto"/>
              <w:rPr>
                <w:color w:val="FFFFFF" w:themeColor="background1"/>
                <w:sz w:val="28"/>
                <w:szCs w:val="28"/>
              </w:rPr>
            </w:pPr>
            <w:r w:rsidRPr="007127C8">
              <w:rPr>
                <w:color w:val="FFFFFF" w:themeColor="background1"/>
                <w:sz w:val="28"/>
                <w:szCs w:val="28"/>
              </w:rPr>
              <w:t>Comments</w:t>
            </w:r>
          </w:p>
        </w:tc>
      </w:tr>
      <w:tr w:rsidR="00EC6263" w14:paraId="017C82EC" w14:textId="77777777" w:rsidTr="6A72DC1B">
        <w:tc>
          <w:tcPr>
            <w:tcW w:w="6511" w:type="dxa"/>
            <w:shd w:val="clear" w:color="auto" w:fill="auto"/>
            <w:tcMar>
              <w:top w:w="100" w:type="dxa"/>
              <w:left w:w="100" w:type="dxa"/>
              <w:bottom w:w="100" w:type="dxa"/>
              <w:right w:w="100" w:type="dxa"/>
            </w:tcMar>
          </w:tcPr>
          <w:p w14:paraId="5AA8A27F" w14:textId="1B4E017F" w:rsidR="00EC6263" w:rsidRDefault="00EC6263" w:rsidP="005F28F0">
            <w:pPr>
              <w:ind w:left="100"/>
            </w:pPr>
            <w:r>
              <w:t xml:space="preserve">The EAP </w:t>
            </w:r>
            <w:r w:rsidR="006C08C7">
              <w:rPr>
                <w:lang w:val="en-US"/>
              </w:rPr>
              <w:t>includes an M&amp;E plan</w:t>
            </w:r>
            <w:r>
              <w:rPr>
                <w:lang w:val="en-US"/>
              </w:rPr>
              <w:t xml:space="preserve"> to</w:t>
            </w:r>
            <w:r>
              <w:t xml:space="preserve"> 1) assess the impact of the early actions and the extreme event after each activation and 2) </w:t>
            </w:r>
            <w:r w:rsidR="007E5631" w:rsidRPr="007E5631">
              <w:rPr>
                <w:lang w:val="en-US"/>
              </w:rPr>
              <w:t>identify if all activities were carried out as planned and document how early actions were implemented</w:t>
            </w:r>
          </w:p>
          <w:p w14:paraId="212EE817" w14:textId="169493E4" w:rsidR="00242482" w:rsidRDefault="00242482" w:rsidP="005F28F0">
            <w:pPr>
              <w:ind w:left="100"/>
            </w:pPr>
            <w:r w:rsidRPr="00242482">
              <w:t>3) learn from the process to improve the system in the future</w:t>
            </w:r>
          </w:p>
          <w:p w14:paraId="5CFA44A1" w14:textId="77777777" w:rsidR="00C21B7D" w:rsidRDefault="00C21B7D" w:rsidP="005F28F0">
            <w:pPr>
              <w:ind w:left="100"/>
            </w:pPr>
          </w:p>
          <w:p w14:paraId="126EC92B" w14:textId="52526EDB" w:rsidR="00EC6263" w:rsidRPr="007E497B" w:rsidRDefault="00C63DBC" w:rsidP="007E497B">
            <w:r w:rsidRPr="0753BF62">
              <w:rPr>
                <w:b/>
              </w:rPr>
              <w:t xml:space="preserve">(Section </w:t>
            </w:r>
            <w:r w:rsidR="007E497B" w:rsidRPr="0753BF62">
              <w:rPr>
                <w:b/>
              </w:rPr>
              <w:t>7 EAP template – Monitoring, Evaluation, Accountability and Learning (MEAL).</w:t>
            </w:r>
            <w:r w:rsidR="007E497B">
              <w:t xml:space="preserve"> </w:t>
            </w:r>
          </w:p>
        </w:tc>
        <w:tc>
          <w:tcPr>
            <w:tcW w:w="8788" w:type="dxa"/>
          </w:tcPr>
          <w:p w14:paraId="3F2820BB" w14:textId="157412F3" w:rsidR="00EC6263" w:rsidRDefault="00EC6263" w:rsidP="005F28F0">
            <w:pPr>
              <w:widowControl w:val="0"/>
              <w:spacing w:line="240" w:lineRule="auto"/>
              <w:rPr>
                <w:color w:val="351C75"/>
                <w:sz w:val="28"/>
                <w:szCs w:val="28"/>
              </w:rPr>
            </w:pPr>
            <w:r w:rsidRPr="000A38D6">
              <w:t>Ideally, the M&amp;E system should be set up in a way that the impact of the event in the community that received early actions is assessed by using data from comparison communities.</w:t>
            </w:r>
            <w:r w:rsidRPr="00720ACB">
              <w:rPr>
                <w:color w:val="351C75"/>
                <w:szCs w:val="28"/>
              </w:rPr>
              <w:t xml:space="preserve"> </w:t>
            </w:r>
            <w:r w:rsidR="00BC4FBB" w:rsidRPr="00BC4FBB">
              <w:t>Depending on the specific context of the hazard an impact evaluation might only be done several months after finishing the implementations of the actions.</w:t>
            </w:r>
          </w:p>
        </w:tc>
      </w:tr>
    </w:tbl>
    <w:p w14:paraId="26BB4E00" w14:textId="29C6858F" w:rsidR="6A72DC1B" w:rsidRDefault="6A72DC1B"/>
    <w:p w14:paraId="393DFCA1" w14:textId="4A203FF5" w:rsidR="3021CE89" w:rsidRDefault="3021CE89"/>
    <w:p w14:paraId="1ED71B35" w14:textId="3D3B7980" w:rsidR="00EC6263" w:rsidRDefault="00EC6263">
      <w:pPr>
        <w:rPr>
          <w:color w:val="351C75"/>
          <w:sz w:val="28"/>
          <w:szCs w:val="28"/>
        </w:rPr>
      </w:pPr>
    </w:p>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511"/>
        <w:gridCol w:w="8788"/>
      </w:tblGrid>
      <w:tr w:rsidR="009B2BC4" w14:paraId="0341BEFE" w14:textId="77777777" w:rsidTr="006B346F">
        <w:tc>
          <w:tcPr>
            <w:tcW w:w="6511" w:type="dxa"/>
            <w:shd w:val="clear" w:color="auto" w:fill="000000" w:themeFill="text1"/>
            <w:tcMar>
              <w:top w:w="100" w:type="dxa"/>
              <w:left w:w="100" w:type="dxa"/>
              <w:bottom w:w="100" w:type="dxa"/>
              <w:right w:w="100" w:type="dxa"/>
            </w:tcMar>
          </w:tcPr>
          <w:p w14:paraId="73B0622D" w14:textId="48F1A739" w:rsidR="009B2BC4" w:rsidRPr="006B346F" w:rsidRDefault="009B2BC4">
            <w:pPr>
              <w:widowControl w:val="0"/>
              <w:spacing w:line="240" w:lineRule="auto"/>
              <w:rPr>
                <w:color w:val="FFFFFF" w:themeColor="background1"/>
                <w:sz w:val="28"/>
                <w:szCs w:val="28"/>
              </w:rPr>
            </w:pPr>
            <w:r w:rsidRPr="006B346F">
              <w:rPr>
                <w:color w:val="FFFFFF" w:themeColor="background1"/>
                <w:sz w:val="28"/>
                <w:szCs w:val="28"/>
              </w:rPr>
              <w:t>National Society’s capacity to implement the EAP</w:t>
            </w:r>
          </w:p>
        </w:tc>
        <w:tc>
          <w:tcPr>
            <w:tcW w:w="8788" w:type="dxa"/>
            <w:shd w:val="clear" w:color="auto" w:fill="000000" w:themeFill="text1"/>
          </w:tcPr>
          <w:p w14:paraId="50B34A63" w14:textId="77777777" w:rsidR="009B2BC4" w:rsidRPr="006B346F" w:rsidRDefault="009B2BC4">
            <w:pPr>
              <w:widowControl w:val="0"/>
              <w:spacing w:line="240" w:lineRule="auto"/>
              <w:rPr>
                <w:color w:val="FFFFFF" w:themeColor="background1"/>
                <w:sz w:val="28"/>
                <w:szCs w:val="28"/>
              </w:rPr>
            </w:pPr>
            <w:r w:rsidRPr="006B346F">
              <w:rPr>
                <w:color w:val="FFFFFF" w:themeColor="background1"/>
                <w:sz w:val="28"/>
                <w:szCs w:val="28"/>
              </w:rPr>
              <w:t>Comments</w:t>
            </w:r>
          </w:p>
        </w:tc>
      </w:tr>
      <w:tr w:rsidR="009B2BC4" w14:paraId="587702EB" w14:textId="77777777" w:rsidTr="00A6779D">
        <w:tc>
          <w:tcPr>
            <w:tcW w:w="6511" w:type="dxa"/>
            <w:shd w:val="clear" w:color="auto" w:fill="auto"/>
            <w:tcMar>
              <w:top w:w="100" w:type="dxa"/>
              <w:left w:w="100" w:type="dxa"/>
              <w:bottom w:w="100" w:type="dxa"/>
              <w:right w:w="100" w:type="dxa"/>
            </w:tcMar>
          </w:tcPr>
          <w:p w14:paraId="4D9A9DCF" w14:textId="0827B42D" w:rsidR="009B2BC4" w:rsidRDefault="0F1CCDFA" w:rsidP="0753BF62">
            <w:pPr>
              <w:widowControl w:val="0"/>
              <w:spacing w:line="240" w:lineRule="auto"/>
            </w:pPr>
            <w:r>
              <w:t xml:space="preserve">The </w:t>
            </w:r>
            <w:r w:rsidRPr="66E1B7FD">
              <w:rPr>
                <w:lang w:val="en-US"/>
              </w:rPr>
              <w:t xml:space="preserve">EAP describes the </w:t>
            </w:r>
            <w:r>
              <w:t xml:space="preserve">National Society </w:t>
            </w:r>
            <w:r w:rsidRPr="66E1B7FD">
              <w:rPr>
                <w:lang w:val="en-US"/>
              </w:rPr>
              <w:t xml:space="preserve">operational </w:t>
            </w:r>
            <w:r>
              <w:t>(Cash, WASH, Food Security, Shelter etc</w:t>
            </w:r>
            <w:r w:rsidR="4C1B7305">
              <w:t>.</w:t>
            </w:r>
            <w:r>
              <w:t xml:space="preserve">) </w:t>
            </w:r>
            <w:r w:rsidRPr="66E1B7FD">
              <w:rPr>
                <w:lang w:val="en-US"/>
              </w:rPr>
              <w:t xml:space="preserve">and administrative (Finance, PMER, Human Resources) capacity and experience to implement the EAP. </w:t>
            </w:r>
            <w:r>
              <w:t xml:space="preserve"> If no capacity exists, </w:t>
            </w:r>
            <w:r w:rsidRPr="66E1B7FD">
              <w:rPr>
                <w:lang w:val="en-US"/>
              </w:rPr>
              <w:t>the EAP describes how they plan</w:t>
            </w:r>
            <w:r>
              <w:t xml:space="preserve"> to </w:t>
            </w:r>
            <w:r w:rsidRPr="66E1B7FD">
              <w:rPr>
                <w:lang w:val="en-US"/>
              </w:rPr>
              <w:t>address</w:t>
            </w:r>
            <w:r>
              <w:t xml:space="preserve"> </w:t>
            </w:r>
            <w:r w:rsidRPr="66E1B7FD">
              <w:rPr>
                <w:lang w:val="en-US"/>
              </w:rPr>
              <w:t>this limitation</w:t>
            </w:r>
            <w:r>
              <w:t xml:space="preserve"> in order to implement the EAP effectively and efficiently. </w:t>
            </w:r>
          </w:p>
          <w:p w14:paraId="7637D419" w14:textId="77777777" w:rsidR="00C21B7D" w:rsidRDefault="00C21B7D" w:rsidP="0753BF62">
            <w:pPr>
              <w:widowControl w:val="0"/>
              <w:spacing w:line="240" w:lineRule="auto"/>
              <w:rPr>
                <w:color w:val="351C75"/>
                <w:sz w:val="28"/>
                <w:szCs w:val="28"/>
              </w:rPr>
            </w:pPr>
          </w:p>
          <w:p w14:paraId="0C48BBD1" w14:textId="4EB63BEC" w:rsidR="009B2BC4" w:rsidRDefault="0F1CCDFA">
            <w:pPr>
              <w:widowControl w:val="0"/>
              <w:spacing w:line="240" w:lineRule="auto"/>
              <w:rPr>
                <w:b/>
                <w:color w:val="351C75"/>
                <w:sz w:val="28"/>
                <w:szCs w:val="28"/>
              </w:rPr>
            </w:pPr>
            <w:r w:rsidRPr="0753BF62">
              <w:rPr>
                <w:b/>
              </w:rPr>
              <w:t>(Section 8.1 EAP template - 8.1</w:t>
            </w:r>
            <w:r w:rsidR="00CF730B" w:rsidRPr="0753BF62">
              <w:rPr>
                <w:b/>
              </w:rPr>
              <w:t xml:space="preserve"> </w:t>
            </w:r>
            <w:r w:rsidRPr="0753BF62">
              <w:rPr>
                <w:b/>
              </w:rPr>
              <w:t>Operational, thematic and administrative capacity)</w:t>
            </w:r>
          </w:p>
        </w:tc>
        <w:tc>
          <w:tcPr>
            <w:tcW w:w="8788" w:type="dxa"/>
          </w:tcPr>
          <w:p w14:paraId="5D59F47A" w14:textId="77777777" w:rsidR="009B2BC4" w:rsidRDefault="009B2BC4">
            <w:pPr>
              <w:widowControl w:val="0"/>
              <w:spacing w:line="240" w:lineRule="auto"/>
              <w:rPr>
                <w:color w:val="351C75"/>
                <w:sz w:val="28"/>
                <w:szCs w:val="28"/>
              </w:rPr>
            </w:pPr>
          </w:p>
        </w:tc>
      </w:tr>
      <w:tr w:rsidR="009B2BC4" w14:paraId="324F6EAB" w14:textId="77777777" w:rsidTr="00A6779D">
        <w:tc>
          <w:tcPr>
            <w:tcW w:w="6511" w:type="dxa"/>
            <w:tcBorders>
              <w:bottom w:val="single" w:sz="8" w:space="0" w:color="000000" w:themeColor="text1"/>
            </w:tcBorders>
            <w:shd w:val="clear" w:color="auto" w:fill="auto"/>
            <w:tcMar>
              <w:top w:w="100" w:type="dxa"/>
              <w:left w:w="100" w:type="dxa"/>
              <w:bottom w:w="100" w:type="dxa"/>
              <w:right w:w="100" w:type="dxa"/>
            </w:tcMar>
          </w:tcPr>
          <w:p w14:paraId="54F16B94" w14:textId="56D0B44C" w:rsidR="009B2BC4" w:rsidRDefault="009B2BC4" w:rsidP="00C63FEC">
            <w:pPr>
              <w:widowControl w:val="0"/>
              <w:spacing w:line="240" w:lineRule="auto"/>
            </w:pPr>
            <w:r>
              <w:t xml:space="preserve">The EAP </w:t>
            </w:r>
            <w:r>
              <w:rPr>
                <w:lang w:val="en-US"/>
              </w:rPr>
              <w:t>describes its alignment with</w:t>
            </w:r>
            <w:r>
              <w:t xml:space="preserve"> </w:t>
            </w:r>
            <w:r>
              <w:rPr>
                <w:lang w:val="en-US"/>
              </w:rPr>
              <w:t xml:space="preserve">the National Society </w:t>
            </w:r>
            <w:r>
              <w:t>Disaster Risk Management strategy (e.g. the existing contingency plan,</w:t>
            </w:r>
            <w:r>
              <w:rPr>
                <w:lang w:val="en-US"/>
              </w:rPr>
              <w:t xml:space="preserve"> response plan,</w:t>
            </w:r>
            <w:r>
              <w:t xml:space="preserve"> DRR plan etc.) </w:t>
            </w:r>
          </w:p>
          <w:p w14:paraId="1FA1B322" w14:textId="77777777" w:rsidR="00C21B7D" w:rsidRDefault="00C21B7D" w:rsidP="00C63FEC">
            <w:pPr>
              <w:widowControl w:val="0"/>
              <w:spacing w:line="240" w:lineRule="auto"/>
            </w:pPr>
          </w:p>
          <w:p w14:paraId="0A74FAF4" w14:textId="38A5F985" w:rsidR="009B2BC4" w:rsidRDefault="009B2BC4" w:rsidP="00C63FEC">
            <w:pPr>
              <w:widowControl w:val="0"/>
              <w:spacing w:line="240" w:lineRule="auto"/>
              <w:rPr>
                <w:b/>
              </w:rPr>
            </w:pPr>
            <w:r w:rsidRPr="0753BF62">
              <w:rPr>
                <w:b/>
              </w:rPr>
              <w:t>(Section 8.2 EAP template – Strategies and plans)</w:t>
            </w:r>
          </w:p>
        </w:tc>
        <w:tc>
          <w:tcPr>
            <w:tcW w:w="8788" w:type="dxa"/>
            <w:tcBorders>
              <w:bottom w:val="single" w:sz="8" w:space="0" w:color="000000" w:themeColor="text1"/>
            </w:tcBorders>
          </w:tcPr>
          <w:p w14:paraId="44CC1B70" w14:textId="77777777" w:rsidR="009B2BC4" w:rsidRPr="00711233" w:rsidRDefault="009B2BC4">
            <w:pPr>
              <w:widowControl w:val="0"/>
              <w:spacing w:line="240" w:lineRule="auto"/>
            </w:pPr>
            <w:r w:rsidRPr="00711233">
              <w:t>In the mid-term the EAP should be integrated in the DRM strategy.</w:t>
            </w:r>
          </w:p>
        </w:tc>
      </w:tr>
      <w:tr w:rsidR="009B2BC4" w14:paraId="7B130B49" w14:textId="77777777" w:rsidTr="00A16FE6">
        <w:tc>
          <w:tcPr>
            <w:tcW w:w="6511" w:type="dxa"/>
            <w:shd w:val="clear" w:color="auto" w:fill="000000" w:themeFill="text1"/>
            <w:tcMar>
              <w:top w:w="100" w:type="dxa"/>
              <w:left w:w="100" w:type="dxa"/>
              <w:bottom w:w="100" w:type="dxa"/>
              <w:right w:w="100" w:type="dxa"/>
            </w:tcMar>
          </w:tcPr>
          <w:p w14:paraId="667D8391" w14:textId="2356E0B4" w:rsidR="009B2BC4" w:rsidRPr="00A16FE6" w:rsidRDefault="00FE5959" w:rsidP="00C63FEC">
            <w:pPr>
              <w:widowControl w:val="0"/>
              <w:spacing w:line="240" w:lineRule="auto"/>
              <w:rPr>
                <w:color w:val="FFFFFF" w:themeColor="background1"/>
                <w:sz w:val="28"/>
                <w:szCs w:val="28"/>
              </w:rPr>
            </w:pPr>
            <w:r w:rsidRPr="00A16FE6">
              <w:rPr>
                <w:color w:val="FFFFFF" w:themeColor="background1"/>
                <w:sz w:val="28"/>
                <w:szCs w:val="28"/>
              </w:rPr>
              <w:lastRenderedPageBreak/>
              <w:t>Budget</w:t>
            </w:r>
          </w:p>
        </w:tc>
        <w:tc>
          <w:tcPr>
            <w:tcW w:w="8788" w:type="dxa"/>
            <w:shd w:val="clear" w:color="auto" w:fill="000000" w:themeFill="text1"/>
          </w:tcPr>
          <w:p w14:paraId="782D4092" w14:textId="6A3C9566" w:rsidR="009B2BC4" w:rsidRPr="00A16FE6" w:rsidRDefault="12819429">
            <w:pPr>
              <w:widowControl w:val="0"/>
              <w:spacing w:line="240" w:lineRule="auto"/>
              <w:rPr>
                <w:color w:val="FFFFFF" w:themeColor="background1"/>
                <w:sz w:val="28"/>
                <w:szCs w:val="28"/>
              </w:rPr>
            </w:pPr>
            <w:r w:rsidRPr="00A16FE6">
              <w:rPr>
                <w:color w:val="FFFFFF" w:themeColor="background1"/>
                <w:sz w:val="28"/>
                <w:szCs w:val="28"/>
              </w:rPr>
              <w:t>Comments</w:t>
            </w:r>
          </w:p>
        </w:tc>
      </w:tr>
      <w:tr w:rsidR="009B2BC4" w14:paraId="053E3254" w14:textId="77777777" w:rsidTr="00A6779D">
        <w:tc>
          <w:tcPr>
            <w:tcW w:w="6511" w:type="dxa"/>
            <w:shd w:val="clear" w:color="auto" w:fill="auto"/>
            <w:tcMar>
              <w:top w:w="100" w:type="dxa"/>
              <w:left w:w="100" w:type="dxa"/>
              <w:bottom w:w="100" w:type="dxa"/>
              <w:right w:w="100" w:type="dxa"/>
            </w:tcMar>
          </w:tcPr>
          <w:p w14:paraId="542C2923" w14:textId="77777777" w:rsidR="00B9350F" w:rsidRDefault="00633130" w:rsidP="00C63FEC">
            <w:pPr>
              <w:widowControl w:val="0"/>
              <w:spacing w:line="240" w:lineRule="auto"/>
            </w:pPr>
            <w:r>
              <w:t>The EAP includes a budget</w:t>
            </w:r>
            <w:r w:rsidR="00900259">
              <w:t xml:space="preserve"> in the IFRC template</w:t>
            </w:r>
            <w:r>
              <w:t xml:space="preserve">, detailing the costs for the </w:t>
            </w:r>
            <w:r>
              <w:rPr>
                <w:lang w:val="en-US"/>
              </w:rPr>
              <w:t>readiness activities, pre-positioning and trigger-based Early Action</w:t>
            </w:r>
            <w:r>
              <w:t>.</w:t>
            </w:r>
            <w:r w:rsidR="00900259">
              <w:t xml:space="preserve"> </w:t>
            </w:r>
          </w:p>
          <w:p w14:paraId="26544934" w14:textId="1961EBEE" w:rsidR="009B2BC4" w:rsidRDefault="00900259" w:rsidP="00C63FEC">
            <w:pPr>
              <w:widowControl w:val="0"/>
              <w:spacing w:line="240" w:lineRule="auto"/>
              <w:rPr>
                <w:lang w:val="en-US"/>
              </w:rPr>
            </w:pPr>
            <w:r>
              <w:t xml:space="preserve">The budget </w:t>
            </w:r>
            <w:r w:rsidR="006E69A6">
              <w:t xml:space="preserve">upholds to the </w:t>
            </w:r>
            <w:r w:rsidR="00C13B7C">
              <w:t>established percentages:</w:t>
            </w:r>
            <w:r>
              <w:rPr>
                <w:lang w:val="en-US"/>
              </w:rPr>
              <w:t xml:space="preserve"> A maximum of</w:t>
            </w:r>
            <w:r>
              <w:t xml:space="preserve"> </w:t>
            </w:r>
            <w:r w:rsidR="00931C89">
              <w:t>65</w:t>
            </w:r>
            <w:r>
              <w:t xml:space="preserve">% of the EAP budget can </w:t>
            </w:r>
            <w:r>
              <w:rPr>
                <w:lang w:val="en-US"/>
              </w:rPr>
              <w:t xml:space="preserve">be </w:t>
            </w:r>
            <w:r w:rsidR="00931C89">
              <w:rPr>
                <w:lang w:val="en-US"/>
              </w:rPr>
              <w:t xml:space="preserve">allocated for </w:t>
            </w:r>
            <w:r>
              <w:t xml:space="preserve">readiness </w:t>
            </w:r>
            <w:r>
              <w:rPr>
                <w:lang w:val="en-US"/>
              </w:rPr>
              <w:t>activities and preposition</w:t>
            </w:r>
            <w:r w:rsidR="00931C89">
              <w:rPr>
                <w:lang w:val="en-US"/>
              </w:rPr>
              <w:t>ed</w:t>
            </w:r>
            <w:r>
              <w:rPr>
                <w:lang w:val="en-US"/>
              </w:rPr>
              <w:t xml:space="preserve"> stock.</w:t>
            </w:r>
            <w:r w:rsidR="006C0021">
              <w:rPr>
                <w:lang w:val="en-US"/>
              </w:rPr>
              <w:t xml:space="preserve"> </w:t>
            </w:r>
          </w:p>
          <w:p w14:paraId="5CA4D55D" w14:textId="77777777" w:rsidR="00C21B7D" w:rsidRDefault="00C21B7D" w:rsidP="00C63FEC">
            <w:pPr>
              <w:widowControl w:val="0"/>
              <w:spacing w:line="240" w:lineRule="auto"/>
            </w:pPr>
          </w:p>
          <w:p w14:paraId="076C81E1" w14:textId="2966AE11" w:rsidR="009B2BC4" w:rsidRDefault="006C0021" w:rsidP="00C63FEC">
            <w:pPr>
              <w:widowControl w:val="0"/>
              <w:spacing w:line="240" w:lineRule="auto"/>
              <w:rPr>
                <w:b/>
                <w:lang w:val="en-US"/>
              </w:rPr>
            </w:pPr>
            <w:r w:rsidRPr="0753BF62">
              <w:rPr>
                <w:b/>
                <w:lang w:val="en-US"/>
              </w:rPr>
              <w:t xml:space="preserve">(Section 9.1 EAP template </w:t>
            </w:r>
            <w:r w:rsidR="00FF717B" w:rsidRPr="0753BF62">
              <w:rPr>
                <w:b/>
                <w:lang w:val="en-US"/>
              </w:rPr>
              <w:t>– Budget)</w:t>
            </w:r>
          </w:p>
        </w:tc>
        <w:tc>
          <w:tcPr>
            <w:tcW w:w="8788" w:type="dxa"/>
          </w:tcPr>
          <w:p w14:paraId="68BF4A16" w14:textId="4B576001" w:rsidR="009B2BC4" w:rsidRPr="00AB5539" w:rsidRDefault="00281132">
            <w:pPr>
              <w:widowControl w:val="0"/>
              <w:spacing w:line="240" w:lineRule="auto"/>
            </w:pPr>
            <w:r w:rsidRPr="00AB5539">
              <w:rPr>
                <w:rFonts w:eastAsia="Helvetica Neue"/>
              </w:rPr>
              <w:t xml:space="preserve">The EAP budget consists of all the costs linked to the activation of the EAP as well as readiness and pre-positioning costs. </w:t>
            </w:r>
          </w:p>
        </w:tc>
      </w:tr>
      <w:tr w:rsidR="00281132" w14:paraId="76E16C74" w14:textId="77777777" w:rsidTr="00A6779D">
        <w:tc>
          <w:tcPr>
            <w:tcW w:w="6511" w:type="dxa"/>
            <w:shd w:val="clear" w:color="auto" w:fill="auto"/>
            <w:tcMar>
              <w:top w:w="100" w:type="dxa"/>
              <w:left w:w="100" w:type="dxa"/>
              <w:bottom w:w="100" w:type="dxa"/>
              <w:right w:w="100" w:type="dxa"/>
            </w:tcMar>
          </w:tcPr>
          <w:p w14:paraId="6521EB1D" w14:textId="77777777" w:rsidR="00E61585" w:rsidRDefault="00E77BF3" w:rsidP="002434E9">
            <w:pPr>
              <w:pBdr>
                <w:top w:val="none" w:sz="0" w:space="0" w:color="auto"/>
                <w:left w:val="none" w:sz="0" w:space="0" w:color="auto"/>
                <w:bottom w:val="none" w:sz="0" w:space="0" w:color="auto"/>
                <w:right w:val="none" w:sz="0" w:space="0" w:color="auto"/>
                <w:between w:val="none" w:sz="0" w:space="0" w:color="auto"/>
              </w:pBdr>
              <w:spacing w:line="240" w:lineRule="auto"/>
              <w:rPr>
                <w:b/>
                <w:lang w:val="en-US"/>
              </w:rPr>
            </w:pPr>
            <w:r w:rsidRPr="00C21B7D">
              <w:rPr>
                <w:rFonts w:eastAsia="Times New Roman"/>
                <w:color w:val="auto"/>
              </w:rPr>
              <w:t xml:space="preserve">The EAP should reach ideally a </w:t>
            </w:r>
            <w:r w:rsidR="00931C89" w:rsidRPr="00C21B7D">
              <w:rPr>
                <w:rFonts w:eastAsia="Times New Roman"/>
                <w:color w:val="auto"/>
              </w:rPr>
              <w:t xml:space="preserve">target </w:t>
            </w:r>
            <w:r w:rsidRPr="00C21B7D">
              <w:rPr>
                <w:rFonts w:eastAsia="Times New Roman"/>
                <w:color w:val="auto"/>
              </w:rPr>
              <w:t>minimum of 10</w:t>
            </w:r>
            <w:r w:rsidR="002434E9" w:rsidRPr="00C21B7D">
              <w:rPr>
                <w:rFonts w:eastAsia="Times New Roman"/>
                <w:color w:val="auto"/>
              </w:rPr>
              <w:t>,</w:t>
            </w:r>
            <w:r w:rsidRPr="00C21B7D">
              <w:rPr>
                <w:rFonts w:eastAsia="Times New Roman"/>
                <w:color w:val="auto"/>
              </w:rPr>
              <w:t>00</w:t>
            </w:r>
            <w:r w:rsidR="002434E9" w:rsidRPr="00C21B7D">
              <w:rPr>
                <w:rFonts w:eastAsia="Times New Roman"/>
                <w:color w:val="auto"/>
              </w:rPr>
              <w:t>0</w:t>
            </w:r>
            <w:r w:rsidRPr="00C21B7D">
              <w:rPr>
                <w:rFonts w:eastAsia="Times New Roman"/>
                <w:color w:val="auto"/>
              </w:rPr>
              <w:t xml:space="preserve"> </w:t>
            </w:r>
            <w:r w:rsidR="002434E9" w:rsidRPr="00C21B7D">
              <w:rPr>
                <w:rFonts w:eastAsia="Times New Roman"/>
                <w:color w:val="auto"/>
              </w:rPr>
              <w:t>people</w:t>
            </w:r>
            <w:r w:rsidR="00FF717B" w:rsidRPr="00C21B7D">
              <w:t xml:space="preserve"> </w:t>
            </w:r>
          </w:p>
          <w:p w14:paraId="488757C6" w14:textId="77777777" w:rsidR="00E61585" w:rsidRDefault="00E61585" w:rsidP="002434E9">
            <w:pPr>
              <w:pBdr>
                <w:top w:val="none" w:sz="0" w:space="0" w:color="auto"/>
                <w:left w:val="none" w:sz="0" w:space="0" w:color="auto"/>
                <w:bottom w:val="none" w:sz="0" w:space="0" w:color="auto"/>
                <w:right w:val="none" w:sz="0" w:space="0" w:color="auto"/>
                <w:between w:val="none" w:sz="0" w:space="0" w:color="auto"/>
              </w:pBdr>
              <w:spacing w:line="240" w:lineRule="auto"/>
              <w:rPr>
                <w:b/>
                <w:lang w:val="en-US"/>
              </w:rPr>
            </w:pPr>
          </w:p>
          <w:p w14:paraId="23F16E47" w14:textId="6145A993" w:rsidR="00281132" w:rsidRDefault="00542C35" w:rsidP="002434E9">
            <w:pPr>
              <w:pBdr>
                <w:top w:val="none" w:sz="0" w:space="0" w:color="auto"/>
                <w:left w:val="none" w:sz="0" w:space="0" w:color="auto"/>
                <w:bottom w:val="none" w:sz="0" w:space="0" w:color="auto"/>
                <w:right w:val="none" w:sz="0" w:space="0" w:color="auto"/>
                <w:between w:val="none" w:sz="0" w:space="0" w:color="auto"/>
              </w:pBdr>
              <w:spacing w:line="240" w:lineRule="auto"/>
              <w:rPr>
                <w:b/>
                <w:lang w:val="en-US"/>
              </w:rPr>
            </w:pPr>
            <w:r w:rsidRPr="0753BF62">
              <w:rPr>
                <w:b/>
                <w:lang w:val="en-US"/>
              </w:rPr>
              <w:t>(Section 9.1 EAP template – Budget)</w:t>
            </w:r>
          </w:p>
        </w:tc>
        <w:tc>
          <w:tcPr>
            <w:tcW w:w="8788" w:type="dxa"/>
          </w:tcPr>
          <w:p w14:paraId="49CBBFA5" w14:textId="77777777" w:rsidR="00281132" w:rsidRPr="00021F5A" w:rsidRDefault="5326C651" w:rsidP="00E77BF3">
            <w:pPr>
              <w:widowControl w:val="0"/>
              <w:spacing w:line="240" w:lineRule="auto"/>
              <w:rPr>
                <w:rFonts w:asciiTheme="minorBidi" w:hAnsiTheme="minorBidi" w:cstheme="minorBidi"/>
              </w:rPr>
            </w:pPr>
            <w:r w:rsidRPr="00021F5A">
              <w:rPr>
                <w:rFonts w:asciiTheme="minorBidi" w:eastAsia="Helvetica Neue" w:hAnsiTheme="minorBidi" w:cstheme="minorBidi"/>
              </w:rPr>
              <w:t>If</w:t>
            </w:r>
            <w:r w:rsidRPr="00021F5A">
              <w:rPr>
                <w:rFonts w:asciiTheme="minorBidi" w:hAnsiTheme="minorBidi" w:cstheme="minorBidi"/>
              </w:rPr>
              <w:t xml:space="preserve"> EAPs are foreseen for sparsely populated areas or with high quality early actions, lower household numbers can be accepted.</w:t>
            </w:r>
          </w:p>
          <w:p w14:paraId="6C178BE0" w14:textId="77777777" w:rsidR="002C377A" w:rsidRPr="00021F5A" w:rsidRDefault="002C377A" w:rsidP="00E77BF3">
            <w:pPr>
              <w:widowControl w:val="0"/>
              <w:spacing w:line="240" w:lineRule="auto"/>
              <w:rPr>
                <w:rFonts w:asciiTheme="minorBidi" w:hAnsiTheme="minorBidi" w:cstheme="minorBidi"/>
              </w:rPr>
            </w:pPr>
          </w:p>
          <w:p w14:paraId="00206C25" w14:textId="48B56A06" w:rsidR="002C377A" w:rsidRPr="00021F5A" w:rsidRDefault="002C377A" w:rsidP="00E77BF3">
            <w:pPr>
              <w:widowControl w:val="0"/>
              <w:spacing w:line="240" w:lineRule="auto"/>
              <w:rPr>
                <w:rFonts w:asciiTheme="minorBidi" w:hAnsiTheme="minorBidi" w:cstheme="minorBidi"/>
              </w:rPr>
            </w:pPr>
            <w:r w:rsidRPr="00021F5A">
              <w:rPr>
                <w:rFonts w:asciiTheme="minorBidi" w:eastAsia="Roboto" w:hAnsiTheme="minorBidi" w:cstheme="minorBidi"/>
                <w:highlight w:val="white"/>
              </w:rPr>
              <w:t xml:space="preserve">Given the impacts of drought may be acutely felt for an entire calendar year (e.g. until there is a subsequent good harvest), or longer, it is possible that the most effective actions to </w:t>
            </w:r>
            <w:r w:rsidRPr="00021F5A">
              <w:rPr>
                <w:rFonts w:asciiTheme="minorBidi" w:hAnsiTheme="minorBidi" w:cstheme="minorBidi"/>
              </w:rPr>
              <w:t>support</w:t>
            </w:r>
            <w:r w:rsidRPr="00021F5A">
              <w:rPr>
                <w:rFonts w:asciiTheme="minorBidi" w:eastAsia="Roboto" w:hAnsiTheme="minorBidi" w:cstheme="minorBidi"/>
                <w:highlight w:val="white"/>
              </w:rPr>
              <w:t xml:space="preserve"> people will be expensive ones, or actions that are staggered and layered one on top of each there (</w:t>
            </w:r>
            <w:r w:rsidR="00951396" w:rsidRPr="00021F5A">
              <w:rPr>
                <w:rFonts w:asciiTheme="minorBidi" w:eastAsia="Roboto" w:hAnsiTheme="minorBidi" w:cstheme="minorBidi"/>
                <w:highlight w:val="white"/>
              </w:rPr>
              <w:t>e.g.</w:t>
            </w:r>
            <w:r w:rsidRPr="00021F5A">
              <w:rPr>
                <w:rFonts w:asciiTheme="minorBidi" w:eastAsia="Roboto" w:hAnsiTheme="minorBidi" w:cstheme="minorBidi"/>
                <w:highlight w:val="white"/>
              </w:rPr>
              <w:t xml:space="preserve"> cash + seeds and fertilizers). </w:t>
            </w:r>
            <w:r w:rsidRPr="00021F5A">
              <w:rPr>
                <w:rFonts w:asciiTheme="minorBidi" w:hAnsiTheme="minorBidi" w:cstheme="minorBidi"/>
              </w:rPr>
              <w:t xml:space="preserve">With appropriate justification the validation committee might accept exceptions to </w:t>
            </w:r>
            <w:r w:rsidR="00B9350F" w:rsidRPr="00021F5A">
              <w:rPr>
                <w:rFonts w:asciiTheme="minorBidi" w:hAnsiTheme="minorBidi" w:cstheme="minorBidi"/>
              </w:rPr>
              <w:t>this criterion</w:t>
            </w:r>
            <w:r w:rsidRPr="00021F5A">
              <w:rPr>
                <w:rFonts w:asciiTheme="minorBidi" w:hAnsiTheme="minorBidi" w:cstheme="minorBidi"/>
              </w:rPr>
              <w:t>.</w:t>
            </w:r>
          </w:p>
        </w:tc>
      </w:tr>
      <w:tr w:rsidR="00281132" w14:paraId="50B1565C" w14:textId="77777777" w:rsidTr="00A6779D">
        <w:tc>
          <w:tcPr>
            <w:tcW w:w="6511" w:type="dxa"/>
            <w:shd w:val="clear" w:color="auto" w:fill="auto"/>
            <w:tcMar>
              <w:top w:w="100" w:type="dxa"/>
              <w:left w:w="100" w:type="dxa"/>
              <w:bottom w:w="100" w:type="dxa"/>
              <w:right w:w="100" w:type="dxa"/>
            </w:tcMar>
          </w:tcPr>
          <w:p w14:paraId="528DEA01" w14:textId="0B3F2BF0" w:rsidR="00281132" w:rsidRDefault="00281132" w:rsidP="00281132">
            <w:pPr>
              <w:widowControl w:val="0"/>
              <w:spacing w:line="240" w:lineRule="auto"/>
              <w:rPr>
                <w:lang w:val="en-GB"/>
              </w:rPr>
            </w:pPr>
            <w:r>
              <w:rPr>
                <w:lang w:val="en-US"/>
              </w:rPr>
              <w:t xml:space="preserve">The shelf life of the items to be prepositioned equals or exceeds the EAP lifespan and </w:t>
            </w:r>
            <w:r>
              <w:rPr>
                <w:lang w:val="en-GB"/>
              </w:rPr>
              <w:t>there is a plan for stock management</w:t>
            </w:r>
            <w:r w:rsidR="00A828E1">
              <w:rPr>
                <w:lang w:val="en-GB"/>
              </w:rPr>
              <w:t xml:space="preserve"> </w:t>
            </w:r>
          </w:p>
          <w:p w14:paraId="118543F9" w14:textId="77777777" w:rsidR="00E61585" w:rsidRDefault="00E61585" w:rsidP="00281132">
            <w:pPr>
              <w:widowControl w:val="0"/>
              <w:spacing w:line="240" w:lineRule="auto"/>
            </w:pPr>
          </w:p>
          <w:p w14:paraId="473F4647" w14:textId="3683E089" w:rsidR="00281132" w:rsidRDefault="00267CCC" w:rsidP="00281132">
            <w:pPr>
              <w:widowControl w:val="0"/>
              <w:spacing w:line="240" w:lineRule="auto"/>
              <w:rPr>
                <w:b/>
                <w:lang w:val="en-US"/>
              </w:rPr>
            </w:pPr>
            <w:r w:rsidRPr="0753BF62">
              <w:rPr>
                <w:b/>
                <w:lang w:val="en-US"/>
              </w:rPr>
              <w:t>(</w:t>
            </w:r>
            <w:r w:rsidR="005A7AD3" w:rsidRPr="0753BF62">
              <w:rPr>
                <w:b/>
                <w:lang w:val="en-US"/>
              </w:rPr>
              <w:t>Section 9.2 EAP template – Prepositioning)</w:t>
            </w:r>
          </w:p>
        </w:tc>
        <w:tc>
          <w:tcPr>
            <w:tcW w:w="8788" w:type="dxa"/>
          </w:tcPr>
          <w:p w14:paraId="6177EC4E" w14:textId="10CB5958" w:rsidR="00281132" w:rsidRPr="00021F5A" w:rsidRDefault="00CC4EC5" w:rsidP="00DD5C01">
            <w:pPr>
              <w:widowControl w:val="0"/>
              <w:spacing w:line="240" w:lineRule="auto"/>
              <w:jc w:val="both"/>
              <w:rPr>
                <w:rFonts w:asciiTheme="minorBidi" w:hAnsiTheme="minorBidi" w:cstheme="minorBidi"/>
              </w:rPr>
            </w:pPr>
            <w:r w:rsidRPr="00021F5A">
              <w:rPr>
                <w:rFonts w:asciiTheme="minorBidi" w:eastAsia="Helvetica Neue" w:hAnsiTheme="minorBidi" w:cstheme="minorBidi"/>
              </w:rPr>
              <w:t>To ensure the feasibility of the rapid distribution of items in the short timeframe between forecast and event, prepositioning of goods might be necessary. They should normally have a lifetime of at least the lifecycle of the EAP and should only be replenished after an activation.</w:t>
            </w:r>
          </w:p>
        </w:tc>
      </w:tr>
      <w:tr w:rsidR="009B2BC4" w14:paraId="406486A7" w14:textId="77777777" w:rsidTr="00A16FE6">
        <w:trPr>
          <w:trHeight w:val="540"/>
        </w:trPr>
        <w:tc>
          <w:tcPr>
            <w:tcW w:w="6511" w:type="dxa"/>
            <w:shd w:val="clear" w:color="auto" w:fill="000000" w:themeFill="text1"/>
            <w:tcMar>
              <w:top w:w="100" w:type="dxa"/>
              <w:left w:w="100" w:type="dxa"/>
              <w:bottom w:w="100" w:type="dxa"/>
              <w:right w:w="100" w:type="dxa"/>
            </w:tcMar>
          </w:tcPr>
          <w:p w14:paraId="27DA3569" w14:textId="77777777" w:rsidR="009B2BC4" w:rsidRPr="00A16FE6" w:rsidRDefault="009B2BC4">
            <w:pPr>
              <w:widowControl w:val="0"/>
              <w:spacing w:line="240" w:lineRule="auto"/>
              <w:rPr>
                <w:color w:val="FFFFFF" w:themeColor="background1"/>
                <w:sz w:val="28"/>
                <w:szCs w:val="28"/>
              </w:rPr>
            </w:pPr>
            <w:r w:rsidRPr="00A16FE6">
              <w:rPr>
                <w:color w:val="FFFFFF" w:themeColor="background1"/>
                <w:sz w:val="28"/>
                <w:szCs w:val="28"/>
              </w:rPr>
              <w:t>Coordination</w:t>
            </w:r>
          </w:p>
        </w:tc>
        <w:tc>
          <w:tcPr>
            <w:tcW w:w="8788" w:type="dxa"/>
            <w:shd w:val="clear" w:color="auto" w:fill="000000" w:themeFill="text1"/>
          </w:tcPr>
          <w:p w14:paraId="793FB8EF" w14:textId="77777777" w:rsidR="009B2BC4" w:rsidRPr="00A16FE6" w:rsidRDefault="009B2BC4">
            <w:pPr>
              <w:widowControl w:val="0"/>
              <w:spacing w:line="240" w:lineRule="auto"/>
              <w:rPr>
                <w:color w:val="FFFFFF" w:themeColor="background1"/>
                <w:sz w:val="28"/>
                <w:szCs w:val="28"/>
              </w:rPr>
            </w:pPr>
            <w:r w:rsidRPr="00A16FE6">
              <w:rPr>
                <w:color w:val="FFFFFF" w:themeColor="background1"/>
                <w:sz w:val="28"/>
                <w:szCs w:val="28"/>
              </w:rPr>
              <w:t>Comments</w:t>
            </w:r>
          </w:p>
        </w:tc>
      </w:tr>
      <w:tr w:rsidR="009B2BC4" w14:paraId="1DCA8029" w14:textId="77777777" w:rsidTr="00A6779D">
        <w:tc>
          <w:tcPr>
            <w:tcW w:w="6511" w:type="dxa"/>
            <w:shd w:val="clear" w:color="auto" w:fill="auto"/>
            <w:tcMar>
              <w:top w:w="100" w:type="dxa"/>
              <w:left w:w="100" w:type="dxa"/>
              <w:bottom w:w="100" w:type="dxa"/>
              <w:right w:w="100" w:type="dxa"/>
            </w:tcMar>
          </w:tcPr>
          <w:p w14:paraId="77DF50E4" w14:textId="408D5A42" w:rsidR="00D11B85" w:rsidRDefault="00D11B85" w:rsidP="00D11B85">
            <w:pPr>
              <w:widowControl w:val="0"/>
              <w:spacing w:line="240" w:lineRule="auto"/>
            </w:pPr>
            <w:r>
              <w:t xml:space="preserve">The Forecast based Financing process has been conducted in a participatory manner with involvement of key stakeholders, including communities, movement components and external actors, especially Hydro-Met agencies, disaster risk management authorities, </w:t>
            </w:r>
            <w:r>
              <w:rPr>
                <w:highlight w:val="white"/>
              </w:rPr>
              <w:t>government ministries, development organizations</w:t>
            </w:r>
            <w:r>
              <w:t xml:space="preserve">, other hazard specific agencies (local and national level), and other major anticipatory humanitarian actors in the country/region. </w:t>
            </w:r>
          </w:p>
          <w:p w14:paraId="09CC75AA" w14:textId="77777777" w:rsidR="00E61585" w:rsidRDefault="00E61585" w:rsidP="00D11B85">
            <w:pPr>
              <w:widowControl w:val="0"/>
              <w:spacing w:line="240" w:lineRule="auto"/>
              <w:rPr>
                <w:color w:val="351C75"/>
                <w:sz w:val="28"/>
                <w:szCs w:val="28"/>
              </w:rPr>
            </w:pPr>
          </w:p>
          <w:p w14:paraId="6B8E8D15" w14:textId="4D2F22AE" w:rsidR="009B2BC4" w:rsidRDefault="00D11B85" w:rsidP="00D11B85">
            <w:pPr>
              <w:widowControl w:val="0"/>
              <w:spacing w:line="240" w:lineRule="auto"/>
              <w:rPr>
                <w:b/>
                <w:color w:val="351C75"/>
                <w:sz w:val="28"/>
                <w:szCs w:val="28"/>
              </w:rPr>
            </w:pPr>
            <w:r>
              <w:rPr>
                <w:b/>
              </w:rPr>
              <w:t>(Section 2 EAP template – Key actors)</w:t>
            </w:r>
          </w:p>
        </w:tc>
        <w:tc>
          <w:tcPr>
            <w:tcW w:w="8788" w:type="dxa"/>
          </w:tcPr>
          <w:p w14:paraId="56C7455B" w14:textId="42B2E72C" w:rsidR="009B2BC4" w:rsidRPr="00720ACB" w:rsidRDefault="0F1CCDFA" w:rsidP="00A34F61">
            <w:pPr>
              <w:widowControl w:val="0"/>
              <w:spacing w:line="240" w:lineRule="auto"/>
              <w:jc w:val="both"/>
              <w:rPr>
                <w:color w:val="351C75"/>
              </w:rPr>
            </w:pPr>
            <w:r w:rsidRPr="66E1B7FD">
              <w:rPr>
                <w:rFonts w:eastAsia="Helvetica Neue"/>
              </w:rPr>
              <w:lastRenderedPageBreak/>
              <w:t xml:space="preserve">In order to avoid creating parallel systems and to minimize additional discussions on permissions, etc. when a trigger occurs, all relevant key stakeholders in the country should be involved in the development, and when </w:t>
            </w:r>
            <w:r w:rsidR="00951396" w:rsidRPr="66E1B7FD">
              <w:rPr>
                <w:rFonts w:eastAsia="Helvetica Neue"/>
              </w:rPr>
              <w:t>necessary,</w:t>
            </w:r>
            <w:r w:rsidRPr="66E1B7FD">
              <w:rPr>
                <w:rFonts w:eastAsia="Helvetica Neue"/>
              </w:rPr>
              <w:t xml:space="preserve"> the approval of the EAP</w:t>
            </w:r>
            <w:r w:rsidR="2241E206" w:rsidRPr="66E1B7FD">
              <w:rPr>
                <w:rFonts w:eastAsia="Helvetica Neue"/>
              </w:rPr>
              <w:t>.</w:t>
            </w:r>
          </w:p>
        </w:tc>
      </w:tr>
      <w:tr w:rsidR="009B2BC4" w14:paraId="46D55F7A" w14:textId="77777777" w:rsidTr="00A6779D">
        <w:tc>
          <w:tcPr>
            <w:tcW w:w="6511" w:type="dxa"/>
            <w:shd w:val="clear" w:color="auto" w:fill="auto"/>
            <w:tcMar>
              <w:top w:w="100" w:type="dxa"/>
              <w:left w:w="100" w:type="dxa"/>
              <w:bottom w:w="100" w:type="dxa"/>
              <w:right w:w="100" w:type="dxa"/>
            </w:tcMar>
          </w:tcPr>
          <w:p w14:paraId="47D58EAF" w14:textId="03CAAC84" w:rsidR="009B2BC4" w:rsidRDefault="4CF8B8E7" w:rsidP="0753BF62">
            <w:pPr>
              <w:widowControl w:val="0"/>
              <w:spacing w:line="240" w:lineRule="auto"/>
              <w:rPr>
                <w:lang w:val="en-US"/>
              </w:rPr>
            </w:pPr>
            <w:r w:rsidRPr="4A435ECE">
              <w:rPr>
                <w:lang w:val="en-US"/>
              </w:rPr>
              <w:t xml:space="preserve">The EAP should have prior approval from all relevant stakeholders. The EAP must be endorsed by the leadership of the submitting NS. The EAP should also be endorsed by other key relevant stakeholders, such as the </w:t>
            </w:r>
            <w:r w:rsidR="334BB9F9" w:rsidRPr="4A435ECE">
              <w:rPr>
                <w:lang w:val="en-US"/>
              </w:rPr>
              <w:t xml:space="preserve">national Hydro-Met agencies </w:t>
            </w:r>
            <w:r w:rsidRPr="4A435ECE">
              <w:rPr>
                <w:lang w:val="en-US"/>
              </w:rPr>
              <w:t>NHMS and the respective DRM authorities.</w:t>
            </w:r>
            <w:r w:rsidR="5498F15A" w:rsidRPr="4A435ECE">
              <w:rPr>
                <w:lang w:val="en-US"/>
              </w:rPr>
              <w:t xml:space="preserve"> </w:t>
            </w:r>
          </w:p>
          <w:p w14:paraId="1148E872" w14:textId="77777777" w:rsidR="00E61585" w:rsidRDefault="00E61585" w:rsidP="0753BF62">
            <w:pPr>
              <w:widowControl w:val="0"/>
              <w:spacing w:line="240" w:lineRule="auto"/>
              <w:rPr>
                <w:color w:val="351C75"/>
                <w:sz w:val="28"/>
                <w:szCs w:val="28"/>
              </w:rPr>
            </w:pPr>
          </w:p>
          <w:p w14:paraId="5051C62D" w14:textId="1EDB0657" w:rsidR="009B2BC4" w:rsidRDefault="254DC359">
            <w:pPr>
              <w:widowControl w:val="0"/>
              <w:spacing w:line="240" w:lineRule="auto"/>
              <w:rPr>
                <w:b/>
                <w:color w:val="351C75"/>
                <w:sz w:val="28"/>
                <w:szCs w:val="28"/>
              </w:rPr>
            </w:pPr>
            <w:r w:rsidRPr="0753BF62">
              <w:rPr>
                <w:b/>
                <w:lang w:val="en-US"/>
              </w:rPr>
              <w:t>(Section 10 EAP template – EAP endorsement)</w:t>
            </w:r>
          </w:p>
        </w:tc>
        <w:tc>
          <w:tcPr>
            <w:tcW w:w="8788" w:type="dxa"/>
          </w:tcPr>
          <w:p w14:paraId="6C2C9A1D" w14:textId="437AD190" w:rsidR="009B2BC4" w:rsidRDefault="009B2BC4">
            <w:pPr>
              <w:widowControl w:val="0"/>
              <w:spacing w:line="240" w:lineRule="auto"/>
              <w:rPr>
                <w:color w:val="351C75"/>
                <w:sz w:val="28"/>
                <w:szCs w:val="28"/>
              </w:rPr>
            </w:pPr>
          </w:p>
        </w:tc>
      </w:tr>
    </w:tbl>
    <w:p w14:paraId="58561B6F" w14:textId="602E3E20" w:rsidR="3021CE89" w:rsidRDefault="3021CE89"/>
    <w:p w14:paraId="7AE1A376" w14:textId="77777777" w:rsidR="00826EA8" w:rsidRDefault="00826EA8">
      <w:pPr>
        <w:rPr>
          <w:color w:val="351C75"/>
          <w:sz w:val="28"/>
          <w:szCs w:val="28"/>
        </w:rPr>
      </w:pPr>
    </w:p>
    <w:p w14:paraId="2ECEF30E" w14:textId="77777777" w:rsidR="00826EA8" w:rsidRDefault="00826EA8"/>
    <w:p w14:paraId="544F34D4" w14:textId="77777777" w:rsidR="00826EA8" w:rsidRDefault="00826EA8"/>
    <w:sectPr w:rsidR="00826EA8" w:rsidSect="00431870">
      <w:headerReference w:type="even" r:id="rId16"/>
      <w:headerReference w:type="default" r:id="rId17"/>
      <w:footerReference w:type="even" r:id="rId18"/>
      <w:footerReference w:type="default" r:id="rId19"/>
      <w:headerReference w:type="first" r:id="rId20"/>
      <w:footerReference w:type="first" r:id="rId21"/>
      <w:pgSz w:w="16838" w:h="11906"/>
      <w:pgMar w:top="1276" w:right="720" w:bottom="108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785A" w14:textId="77777777" w:rsidR="00E73162" w:rsidRDefault="00E73162">
      <w:pPr>
        <w:spacing w:line="240" w:lineRule="auto"/>
      </w:pPr>
      <w:r>
        <w:separator/>
      </w:r>
    </w:p>
  </w:endnote>
  <w:endnote w:type="continuationSeparator" w:id="0">
    <w:p w14:paraId="6E113D47" w14:textId="77777777" w:rsidR="00E73162" w:rsidRDefault="00E73162">
      <w:pPr>
        <w:spacing w:line="240" w:lineRule="auto"/>
      </w:pPr>
      <w:r>
        <w:continuationSeparator/>
      </w:r>
    </w:p>
  </w:endnote>
  <w:endnote w:type="continuationNotice" w:id="1">
    <w:p w14:paraId="1A9366BB" w14:textId="77777777" w:rsidR="00E73162" w:rsidRDefault="00E731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Narrow">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EF66" w14:textId="09F082FB" w:rsidR="009247CB" w:rsidRDefault="00924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7062" w14:textId="6F0151C2" w:rsidR="00262451" w:rsidRPr="007B68CD" w:rsidRDefault="00542A7F">
    <w:pPr>
      <w:rPr>
        <w:i/>
        <w:iCs/>
        <w:sz w:val="18"/>
        <w:szCs w:val="18"/>
        <w:lang w:val="en-US"/>
      </w:rPr>
    </w:pPr>
    <w:r>
      <w:rPr>
        <w:i/>
        <w:iCs/>
        <w:noProof/>
        <w:sz w:val="18"/>
        <w:szCs w:val="18"/>
        <w:lang w:val="en-US"/>
      </w:rPr>
      <mc:AlternateContent>
        <mc:Choice Requires="wps">
          <w:drawing>
            <wp:anchor distT="0" distB="0" distL="114300" distR="114300" simplePos="0" relativeHeight="251659264" behindDoc="0" locked="0" layoutInCell="0" allowOverlap="1" wp14:anchorId="20AA66BB" wp14:editId="419DAD3B">
              <wp:simplePos x="0" y="0"/>
              <wp:positionH relativeFrom="page">
                <wp:posOffset>0</wp:posOffset>
              </wp:positionH>
              <wp:positionV relativeFrom="page">
                <wp:posOffset>7096125</wp:posOffset>
              </wp:positionV>
              <wp:extent cx="10692130" cy="273050"/>
              <wp:effectExtent l="0" t="0" r="0" b="12700"/>
              <wp:wrapNone/>
              <wp:docPr id="5" name="MSIPCM99864813b24768117194c4f2" descr="{&quot;HashCode&quot;:-45436510,&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3644A5" w14:textId="65F8CDEB" w:rsidR="00542A7F" w:rsidRPr="00542A7F" w:rsidRDefault="00542A7F" w:rsidP="00542A7F">
                          <w:pPr>
                            <w:rPr>
                              <w:rFonts w:ascii="Calibri" w:hAnsi="Calibri" w:cs="Calibri"/>
                              <w:sz w:val="20"/>
                            </w:rPr>
                          </w:pPr>
                          <w:r w:rsidRPr="00542A7F">
                            <w:rPr>
                              <w:rFonts w:ascii="Calibri" w:hAnsi="Calibri" w:cs="Calibri"/>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20AA66BB">
              <v:stroke joinstyle="miter"/>
              <v:path gradientshapeok="t" o:connecttype="rect"/>
            </v:shapetype>
            <v:shape id="MSIPCM99864813b24768117194c4f2" style="position:absolute;margin-left:0;margin-top:558.7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45436510,&quot;Height&quot;:595.0,&quot;Width&quot;:841.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">
              <v:fill o:detectmouseclick="t"/>
              <v:textbox inset="20pt,0,,0">
                <w:txbxContent>
                  <w:p w:rsidRPr="00542A7F" w:rsidR="00542A7F" w:rsidP="00542A7F" w:rsidRDefault="00542A7F" w14:paraId="133644A5" w14:textId="65F8CDEB">
                    <w:pPr>
                      <w:rPr>
                        <w:rFonts w:ascii="Calibri" w:hAnsi="Calibri" w:cs="Calibri"/>
                        <w:sz w:val="20"/>
                      </w:rPr>
                    </w:pPr>
                    <w:r w:rsidRPr="00542A7F">
                      <w:rPr>
                        <w:rFonts w:ascii="Calibri" w:hAnsi="Calibri" w:cs="Calibri"/>
                        <w:sz w:val="20"/>
                      </w:rPr>
                      <w:t>Public</w:t>
                    </w:r>
                  </w:p>
                </w:txbxContent>
              </v:textbox>
              <w10:wrap anchorx="page" anchory="page"/>
            </v:shape>
          </w:pict>
        </mc:Fallback>
      </mc:AlternateContent>
    </w:r>
    <w:r w:rsidR="007B68CD" w:rsidRPr="007B68CD">
      <w:rPr>
        <w:i/>
        <w:iCs/>
        <w:sz w:val="18"/>
        <w:szCs w:val="18"/>
        <w:lang w:val="en-US"/>
      </w:rPr>
      <w:t xml:space="preserve">Version </w:t>
    </w:r>
    <w:r w:rsidR="00C202EA">
      <w:rPr>
        <w:i/>
        <w:iCs/>
        <w:sz w:val="18"/>
        <w:szCs w:val="18"/>
        <w:lang w:val="en-US"/>
      </w:rPr>
      <w:t>January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C7A7" w14:textId="2BFAB098" w:rsidR="009247CB" w:rsidRDefault="00924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4A678" w14:textId="77777777" w:rsidR="00E73162" w:rsidRDefault="00E73162">
      <w:pPr>
        <w:spacing w:line="240" w:lineRule="auto"/>
      </w:pPr>
      <w:r>
        <w:separator/>
      </w:r>
    </w:p>
  </w:footnote>
  <w:footnote w:type="continuationSeparator" w:id="0">
    <w:p w14:paraId="17D65156" w14:textId="77777777" w:rsidR="00E73162" w:rsidRDefault="00E73162">
      <w:pPr>
        <w:spacing w:line="240" w:lineRule="auto"/>
      </w:pPr>
      <w:r>
        <w:continuationSeparator/>
      </w:r>
    </w:p>
  </w:footnote>
  <w:footnote w:type="continuationNotice" w:id="1">
    <w:p w14:paraId="213D4AD6" w14:textId="77777777" w:rsidR="00E73162" w:rsidRDefault="00E73162">
      <w:pPr>
        <w:spacing w:line="240" w:lineRule="auto"/>
      </w:pPr>
    </w:p>
  </w:footnote>
  <w:footnote w:id="2">
    <w:p w14:paraId="281C85B3" w14:textId="72992CEB" w:rsidR="004E3E7B" w:rsidRPr="004E3E7B" w:rsidRDefault="004E3E7B">
      <w:pPr>
        <w:pStyle w:val="FootnoteText"/>
        <w:rPr>
          <w:lang w:val="en-US"/>
        </w:rPr>
      </w:pPr>
      <w:r>
        <w:rPr>
          <w:rStyle w:val="FootnoteReference"/>
        </w:rPr>
        <w:footnoteRef/>
      </w:r>
      <w:r>
        <w:t xml:space="preserve"> </w:t>
      </w:r>
      <w:r>
        <w:rPr>
          <w:lang w:val="en-US"/>
        </w:rPr>
        <w:t xml:space="preserve">Note that the Simplified Early Action Protocol has its own </w:t>
      </w:r>
      <w:r w:rsidR="00FF0078">
        <w:rPr>
          <w:lang w:val="en-US"/>
        </w:rPr>
        <w:t>simplified quality criteria and feedback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1E4E" w14:textId="77777777" w:rsidR="009247CB" w:rsidRDefault="00924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900F" w14:textId="200A2164" w:rsidR="00DD54EA" w:rsidRDefault="00DD54EA">
    <w:pPr>
      <w:pStyle w:val="Header"/>
    </w:pPr>
    <w:r w:rsidRPr="008036DF">
      <w:rPr>
        <w:rFonts w:cs="Times New Roman"/>
        <w:noProof/>
      </w:rPr>
      <w:drawing>
        <wp:anchor distT="0" distB="0" distL="114300" distR="114300" simplePos="0" relativeHeight="251658240" behindDoc="0" locked="0" layoutInCell="1" allowOverlap="1" wp14:anchorId="3FAFCDD9" wp14:editId="6B187842">
          <wp:simplePos x="0" y="0"/>
          <wp:positionH relativeFrom="margin">
            <wp:posOffset>0</wp:posOffset>
          </wp:positionH>
          <wp:positionV relativeFrom="paragraph">
            <wp:posOffset>184150</wp:posOffset>
          </wp:positionV>
          <wp:extent cx="647700" cy="636905"/>
          <wp:effectExtent l="0" t="0" r="0" b="0"/>
          <wp:wrapNone/>
          <wp:docPr id="2"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9772" t="19885" r="19707" b="19231"/>
                  <a:stretch>
                    <a:fillRect/>
                  </a:stretch>
                </pic:blipFill>
                <pic:spPr bwMode="auto">
                  <a:xfrm>
                    <a:off x="0" y="0"/>
                    <a:ext cx="647700" cy="636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7CE5" w14:textId="77777777" w:rsidR="009247CB" w:rsidRDefault="00924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1238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4062F6B"/>
    <w:multiLevelType w:val="hybridMultilevel"/>
    <w:tmpl w:val="929268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736E1"/>
    <w:multiLevelType w:val="multilevel"/>
    <w:tmpl w:val="11FAE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2FD480A"/>
    <w:multiLevelType w:val="hybridMultilevel"/>
    <w:tmpl w:val="E7D2E6BA"/>
    <w:lvl w:ilvl="0" w:tplc="F0C6852E">
      <w:start w:val="1"/>
      <w:numFmt w:val="bullet"/>
      <w:lvlText w:val=""/>
      <w:lvlJc w:val="left"/>
      <w:pPr>
        <w:ind w:left="720" w:hanging="360"/>
      </w:pPr>
      <w:rPr>
        <w:rFonts w:ascii="Symbol" w:hAnsi="Symbol" w:hint="default"/>
      </w:rPr>
    </w:lvl>
    <w:lvl w:ilvl="1" w:tplc="B2C6CB12">
      <w:start w:val="1"/>
      <w:numFmt w:val="bullet"/>
      <w:lvlText w:val="o"/>
      <w:lvlJc w:val="left"/>
      <w:pPr>
        <w:ind w:left="1440" w:hanging="360"/>
      </w:pPr>
      <w:rPr>
        <w:rFonts w:ascii="Courier New" w:hAnsi="Courier New" w:hint="default"/>
      </w:rPr>
    </w:lvl>
    <w:lvl w:ilvl="2" w:tplc="2C4CDE64">
      <w:start w:val="1"/>
      <w:numFmt w:val="bullet"/>
      <w:lvlText w:val=""/>
      <w:lvlJc w:val="left"/>
      <w:pPr>
        <w:ind w:left="2160" w:hanging="360"/>
      </w:pPr>
      <w:rPr>
        <w:rFonts w:ascii="Wingdings" w:hAnsi="Wingdings" w:hint="default"/>
      </w:rPr>
    </w:lvl>
    <w:lvl w:ilvl="3" w:tplc="2B141CCC">
      <w:start w:val="1"/>
      <w:numFmt w:val="bullet"/>
      <w:lvlText w:val=""/>
      <w:lvlJc w:val="left"/>
      <w:pPr>
        <w:ind w:left="2880" w:hanging="360"/>
      </w:pPr>
      <w:rPr>
        <w:rFonts w:ascii="Symbol" w:hAnsi="Symbol" w:hint="default"/>
      </w:rPr>
    </w:lvl>
    <w:lvl w:ilvl="4" w:tplc="3B8024A8">
      <w:start w:val="1"/>
      <w:numFmt w:val="bullet"/>
      <w:lvlText w:val="o"/>
      <w:lvlJc w:val="left"/>
      <w:pPr>
        <w:ind w:left="3600" w:hanging="360"/>
      </w:pPr>
      <w:rPr>
        <w:rFonts w:ascii="Courier New" w:hAnsi="Courier New" w:hint="default"/>
      </w:rPr>
    </w:lvl>
    <w:lvl w:ilvl="5" w:tplc="9A34491A">
      <w:start w:val="1"/>
      <w:numFmt w:val="bullet"/>
      <w:lvlText w:val=""/>
      <w:lvlJc w:val="left"/>
      <w:pPr>
        <w:ind w:left="4320" w:hanging="360"/>
      </w:pPr>
      <w:rPr>
        <w:rFonts w:ascii="Wingdings" w:hAnsi="Wingdings" w:hint="default"/>
      </w:rPr>
    </w:lvl>
    <w:lvl w:ilvl="6" w:tplc="DE82CE20">
      <w:start w:val="1"/>
      <w:numFmt w:val="bullet"/>
      <w:lvlText w:val=""/>
      <w:lvlJc w:val="left"/>
      <w:pPr>
        <w:ind w:left="5040" w:hanging="360"/>
      </w:pPr>
      <w:rPr>
        <w:rFonts w:ascii="Symbol" w:hAnsi="Symbol" w:hint="default"/>
      </w:rPr>
    </w:lvl>
    <w:lvl w:ilvl="7" w:tplc="20582C06">
      <w:start w:val="1"/>
      <w:numFmt w:val="bullet"/>
      <w:lvlText w:val="o"/>
      <w:lvlJc w:val="left"/>
      <w:pPr>
        <w:ind w:left="5760" w:hanging="360"/>
      </w:pPr>
      <w:rPr>
        <w:rFonts w:ascii="Courier New" w:hAnsi="Courier New" w:hint="default"/>
      </w:rPr>
    </w:lvl>
    <w:lvl w:ilvl="8" w:tplc="6F2A1942">
      <w:start w:val="1"/>
      <w:numFmt w:val="bullet"/>
      <w:lvlText w:val=""/>
      <w:lvlJc w:val="left"/>
      <w:pPr>
        <w:ind w:left="6480" w:hanging="360"/>
      </w:pPr>
      <w:rPr>
        <w:rFonts w:ascii="Wingdings" w:hAnsi="Wingdings" w:hint="default"/>
      </w:rPr>
    </w:lvl>
  </w:abstractNum>
  <w:abstractNum w:abstractNumId="4" w15:restartNumberingAfterBreak="0">
    <w:nsid w:val="44756CB6"/>
    <w:multiLevelType w:val="multilevel"/>
    <w:tmpl w:val="A51ED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6C0D7F"/>
    <w:multiLevelType w:val="hybridMultilevel"/>
    <w:tmpl w:val="FC7EFDCA"/>
    <w:lvl w:ilvl="0" w:tplc="08090001">
      <w:start w:val="1"/>
      <w:numFmt w:val="bullet"/>
      <w:lvlText w:val=""/>
      <w:lvlJc w:val="left"/>
      <w:pPr>
        <w:tabs>
          <w:tab w:val="num" w:pos="473"/>
        </w:tabs>
        <w:ind w:left="473"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A633FB"/>
    <w:multiLevelType w:val="multilevel"/>
    <w:tmpl w:val="D340F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EF779A6"/>
    <w:multiLevelType w:val="singleLevel"/>
    <w:tmpl w:val="C4347D46"/>
    <w:lvl w:ilvl="0">
      <w:start w:val="1"/>
      <w:numFmt w:val="decimal"/>
      <w:lvlRestart w:val="0"/>
      <w:pStyle w:val="Considrant"/>
      <w:lvlText w:val="(%1)"/>
      <w:lvlJc w:val="left"/>
      <w:pPr>
        <w:tabs>
          <w:tab w:val="num" w:pos="709"/>
        </w:tabs>
        <w:ind w:left="709" w:hanging="709"/>
      </w:pPr>
      <w:rPr>
        <w:rFonts w:cs="Times New Roman"/>
      </w:rPr>
    </w:lvl>
  </w:abstractNum>
  <w:abstractNum w:abstractNumId="8" w15:restartNumberingAfterBreak="0">
    <w:nsid w:val="6CD7499A"/>
    <w:multiLevelType w:val="hybridMultilevel"/>
    <w:tmpl w:val="BCCA09BE"/>
    <w:lvl w:ilvl="0" w:tplc="011AB45A">
      <w:start w:val="1"/>
      <w:numFmt w:val="bullet"/>
      <w:lvlText w:val=""/>
      <w:lvlJc w:val="left"/>
      <w:pPr>
        <w:ind w:left="720" w:hanging="360"/>
      </w:pPr>
      <w:rPr>
        <w:rFonts w:ascii="Symbol" w:hAnsi="Symbol" w:hint="default"/>
      </w:rPr>
    </w:lvl>
    <w:lvl w:ilvl="1" w:tplc="6E32D2BC">
      <w:start w:val="1"/>
      <w:numFmt w:val="bullet"/>
      <w:lvlText w:val="o"/>
      <w:lvlJc w:val="left"/>
      <w:pPr>
        <w:ind w:left="1440" w:hanging="360"/>
      </w:pPr>
      <w:rPr>
        <w:rFonts w:ascii="Courier New" w:hAnsi="Courier New" w:hint="default"/>
      </w:rPr>
    </w:lvl>
    <w:lvl w:ilvl="2" w:tplc="225C70CE">
      <w:start w:val="1"/>
      <w:numFmt w:val="bullet"/>
      <w:lvlText w:val=""/>
      <w:lvlJc w:val="left"/>
      <w:pPr>
        <w:ind w:left="2160" w:hanging="360"/>
      </w:pPr>
      <w:rPr>
        <w:rFonts w:ascii="Wingdings" w:hAnsi="Wingdings" w:hint="default"/>
      </w:rPr>
    </w:lvl>
    <w:lvl w:ilvl="3" w:tplc="0AD01C98">
      <w:start w:val="1"/>
      <w:numFmt w:val="bullet"/>
      <w:lvlText w:val=""/>
      <w:lvlJc w:val="left"/>
      <w:pPr>
        <w:ind w:left="2880" w:hanging="360"/>
      </w:pPr>
      <w:rPr>
        <w:rFonts w:ascii="Symbol" w:hAnsi="Symbol" w:hint="default"/>
      </w:rPr>
    </w:lvl>
    <w:lvl w:ilvl="4" w:tplc="32E83744">
      <w:start w:val="1"/>
      <w:numFmt w:val="bullet"/>
      <w:lvlText w:val="o"/>
      <w:lvlJc w:val="left"/>
      <w:pPr>
        <w:ind w:left="3600" w:hanging="360"/>
      </w:pPr>
      <w:rPr>
        <w:rFonts w:ascii="Courier New" w:hAnsi="Courier New" w:hint="default"/>
      </w:rPr>
    </w:lvl>
    <w:lvl w:ilvl="5" w:tplc="89726FAC">
      <w:start w:val="1"/>
      <w:numFmt w:val="bullet"/>
      <w:lvlText w:val=""/>
      <w:lvlJc w:val="left"/>
      <w:pPr>
        <w:ind w:left="4320" w:hanging="360"/>
      </w:pPr>
      <w:rPr>
        <w:rFonts w:ascii="Wingdings" w:hAnsi="Wingdings" w:hint="default"/>
      </w:rPr>
    </w:lvl>
    <w:lvl w:ilvl="6" w:tplc="8138BA70">
      <w:start w:val="1"/>
      <w:numFmt w:val="bullet"/>
      <w:lvlText w:val=""/>
      <w:lvlJc w:val="left"/>
      <w:pPr>
        <w:ind w:left="5040" w:hanging="360"/>
      </w:pPr>
      <w:rPr>
        <w:rFonts w:ascii="Symbol" w:hAnsi="Symbol" w:hint="default"/>
      </w:rPr>
    </w:lvl>
    <w:lvl w:ilvl="7" w:tplc="0286230C">
      <w:start w:val="1"/>
      <w:numFmt w:val="bullet"/>
      <w:lvlText w:val="o"/>
      <w:lvlJc w:val="left"/>
      <w:pPr>
        <w:ind w:left="5760" w:hanging="360"/>
      </w:pPr>
      <w:rPr>
        <w:rFonts w:ascii="Courier New" w:hAnsi="Courier New" w:hint="default"/>
      </w:rPr>
    </w:lvl>
    <w:lvl w:ilvl="8" w:tplc="CDF497A6">
      <w:start w:val="1"/>
      <w:numFmt w:val="bullet"/>
      <w:lvlText w:val=""/>
      <w:lvlJc w:val="left"/>
      <w:pPr>
        <w:ind w:left="6480" w:hanging="360"/>
      </w:pPr>
      <w:rPr>
        <w:rFonts w:ascii="Wingdings" w:hAnsi="Wingdings" w:hint="default"/>
      </w:rPr>
    </w:lvl>
  </w:abstractNum>
  <w:abstractNum w:abstractNumId="9" w15:restartNumberingAfterBreak="0">
    <w:nsid w:val="712B4B77"/>
    <w:multiLevelType w:val="multilevel"/>
    <w:tmpl w:val="C3FE7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57265697">
    <w:abstractNumId w:val="8"/>
  </w:num>
  <w:num w:numId="2" w16cid:durableId="1292634359">
    <w:abstractNumId w:val="3"/>
  </w:num>
  <w:num w:numId="3" w16cid:durableId="8605661">
    <w:abstractNumId w:val="6"/>
  </w:num>
  <w:num w:numId="4" w16cid:durableId="100954254">
    <w:abstractNumId w:val="4"/>
  </w:num>
  <w:num w:numId="5" w16cid:durableId="533080459">
    <w:abstractNumId w:val="7"/>
  </w:num>
  <w:num w:numId="6" w16cid:durableId="1463304187">
    <w:abstractNumId w:val="1"/>
  </w:num>
  <w:num w:numId="7" w16cid:durableId="42994486">
    <w:abstractNumId w:val="0"/>
  </w:num>
  <w:num w:numId="8" w16cid:durableId="984547491">
    <w:abstractNumId w:val="5"/>
  </w:num>
  <w:num w:numId="9" w16cid:durableId="1516994354">
    <w:abstractNumId w:val="2"/>
  </w:num>
  <w:num w:numId="10" w16cid:durableId="1098136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A8"/>
    <w:rsid w:val="0000415C"/>
    <w:rsid w:val="00010CA3"/>
    <w:rsid w:val="00021F5A"/>
    <w:rsid w:val="000418FB"/>
    <w:rsid w:val="0007035E"/>
    <w:rsid w:val="00071F35"/>
    <w:rsid w:val="00073429"/>
    <w:rsid w:val="000774D0"/>
    <w:rsid w:val="000934E3"/>
    <w:rsid w:val="000A38D6"/>
    <w:rsid w:val="000A3D4E"/>
    <w:rsid w:val="000A3DD6"/>
    <w:rsid w:val="000A7578"/>
    <w:rsid w:val="000B3BA7"/>
    <w:rsid w:val="000B76B6"/>
    <w:rsid w:val="000C49D7"/>
    <w:rsid w:val="000C775B"/>
    <w:rsid w:val="000C7D29"/>
    <w:rsid w:val="000D0681"/>
    <w:rsid w:val="000D35B3"/>
    <w:rsid w:val="000D37EB"/>
    <w:rsid w:val="000D4273"/>
    <w:rsid w:val="000F382A"/>
    <w:rsid w:val="001013D5"/>
    <w:rsid w:val="0010225D"/>
    <w:rsid w:val="0011137A"/>
    <w:rsid w:val="00117E8A"/>
    <w:rsid w:val="00121D91"/>
    <w:rsid w:val="00121EFE"/>
    <w:rsid w:val="00134274"/>
    <w:rsid w:val="00146600"/>
    <w:rsid w:val="001468E0"/>
    <w:rsid w:val="001501DF"/>
    <w:rsid w:val="001536A9"/>
    <w:rsid w:val="00166ACA"/>
    <w:rsid w:val="001715A7"/>
    <w:rsid w:val="00173BCB"/>
    <w:rsid w:val="00173FEC"/>
    <w:rsid w:val="001817B6"/>
    <w:rsid w:val="00181D55"/>
    <w:rsid w:val="0018292B"/>
    <w:rsid w:val="00182D07"/>
    <w:rsid w:val="00187BEB"/>
    <w:rsid w:val="001A1192"/>
    <w:rsid w:val="001A3EC2"/>
    <w:rsid w:val="001B6FB6"/>
    <w:rsid w:val="001C764B"/>
    <w:rsid w:val="001D3339"/>
    <w:rsid w:val="001D6A77"/>
    <w:rsid w:val="001E5F56"/>
    <w:rsid w:val="001F5582"/>
    <w:rsid w:val="001F56BF"/>
    <w:rsid w:val="002105B1"/>
    <w:rsid w:val="0021235C"/>
    <w:rsid w:val="00212D5B"/>
    <w:rsid w:val="002138D5"/>
    <w:rsid w:val="002311FF"/>
    <w:rsid w:val="00231F9C"/>
    <w:rsid w:val="00242482"/>
    <w:rsid w:val="002434E9"/>
    <w:rsid w:val="002444A5"/>
    <w:rsid w:val="00260008"/>
    <w:rsid w:val="00262451"/>
    <w:rsid w:val="00267CCC"/>
    <w:rsid w:val="00276386"/>
    <w:rsid w:val="00277CF8"/>
    <w:rsid w:val="00281132"/>
    <w:rsid w:val="002A0B92"/>
    <w:rsid w:val="002A269A"/>
    <w:rsid w:val="002A44E8"/>
    <w:rsid w:val="002B3BFD"/>
    <w:rsid w:val="002C36BB"/>
    <w:rsid w:val="002C377A"/>
    <w:rsid w:val="002D0543"/>
    <w:rsid w:val="002E0159"/>
    <w:rsid w:val="002F1851"/>
    <w:rsid w:val="002F3818"/>
    <w:rsid w:val="0030432E"/>
    <w:rsid w:val="0030509D"/>
    <w:rsid w:val="003114A0"/>
    <w:rsid w:val="003136CE"/>
    <w:rsid w:val="003150CD"/>
    <w:rsid w:val="00323BEF"/>
    <w:rsid w:val="0032443B"/>
    <w:rsid w:val="00324861"/>
    <w:rsid w:val="003317EC"/>
    <w:rsid w:val="0033380C"/>
    <w:rsid w:val="003360CE"/>
    <w:rsid w:val="00337CF3"/>
    <w:rsid w:val="00340560"/>
    <w:rsid w:val="00354088"/>
    <w:rsid w:val="003610FB"/>
    <w:rsid w:val="00362BF3"/>
    <w:rsid w:val="00362C7A"/>
    <w:rsid w:val="00381B14"/>
    <w:rsid w:val="003B0E83"/>
    <w:rsid w:val="003B25CE"/>
    <w:rsid w:val="003B3F7C"/>
    <w:rsid w:val="003B44F3"/>
    <w:rsid w:val="003B7C5B"/>
    <w:rsid w:val="003C5160"/>
    <w:rsid w:val="003C5F6C"/>
    <w:rsid w:val="003C6012"/>
    <w:rsid w:val="003D63CF"/>
    <w:rsid w:val="003E5239"/>
    <w:rsid w:val="003F14AC"/>
    <w:rsid w:val="003F4B2F"/>
    <w:rsid w:val="0040118A"/>
    <w:rsid w:val="00404A0C"/>
    <w:rsid w:val="0041023C"/>
    <w:rsid w:val="004261E3"/>
    <w:rsid w:val="00431870"/>
    <w:rsid w:val="00442A11"/>
    <w:rsid w:val="00444738"/>
    <w:rsid w:val="004452ED"/>
    <w:rsid w:val="00447E6C"/>
    <w:rsid w:val="00450CAA"/>
    <w:rsid w:val="00461967"/>
    <w:rsid w:val="00485EE8"/>
    <w:rsid w:val="00490AAC"/>
    <w:rsid w:val="004917DF"/>
    <w:rsid w:val="00492C3D"/>
    <w:rsid w:val="00493EFD"/>
    <w:rsid w:val="00494954"/>
    <w:rsid w:val="004A37A6"/>
    <w:rsid w:val="004A51C4"/>
    <w:rsid w:val="004B5BCD"/>
    <w:rsid w:val="004B6DDE"/>
    <w:rsid w:val="004C3225"/>
    <w:rsid w:val="004E09D6"/>
    <w:rsid w:val="004E3E7B"/>
    <w:rsid w:val="004E4467"/>
    <w:rsid w:val="004F79BA"/>
    <w:rsid w:val="0050210D"/>
    <w:rsid w:val="00516674"/>
    <w:rsid w:val="00542A7F"/>
    <w:rsid w:val="00542C35"/>
    <w:rsid w:val="00543628"/>
    <w:rsid w:val="005439E8"/>
    <w:rsid w:val="00552A98"/>
    <w:rsid w:val="0056265E"/>
    <w:rsid w:val="00564B6A"/>
    <w:rsid w:val="00565029"/>
    <w:rsid w:val="00575F8B"/>
    <w:rsid w:val="00576661"/>
    <w:rsid w:val="00581B24"/>
    <w:rsid w:val="00585BC9"/>
    <w:rsid w:val="005A0C6E"/>
    <w:rsid w:val="005A7AD3"/>
    <w:rsid w:val="005B6E45"/>
    <w:rsid w:val="005C1483"/>
    <w:rsid w:val="005D3495"/>
    <w:rsid w:val="005E47C6"/>
    <w:rsid w:val="005E50C9"/>
    <w:rsid w:val="005E73C3"/>
    <w:rsid w:val="005F28F0"/>
    <w:rsid w:val="005F2D39"/>
    <w:rsid w:val="005F53F2"/>
    <w:rsid w:val="005F67BD"/>
    <w:rsid w:val="005F7DF4"/>
    <w:rsid w:val="00616432"/>
    <w:rsid w:val="006209CF"/>
    <w:rsid w:val="00625061"/>
    <w:rsid w:val="00630B7D"/>
    <w:rsid w:val="00633130"/>
    <w:rsid w:val="00636F6F"/>
    <w:rsid w:val="006420C5"/>
    <w:rsid w:val="00661CD5"/>
    <w:rsid w:val="006704E5"/>
    <w:rsid w:val="00683406"/>
    <w:rsid w:val="0068344D"/>
    <w:rsid w:val="0068398F"/>
    <w:rsid w:val="00691CD7"/>
    <w:rsid w:val="00696D4A"/>
    <w:rsid w:val="006A1FB6"/>
    <w:rsid w:val="006B2EE2"/>
    <w:rsid w:val="006B346F"/>
    <w:rsid w:val="006B3FD4"/>
    <w:rsid w:val="006C0021"/>
    <w:rsid w:val="006C08C7"/>
    <w:rsid w:val="006D4A29"/>
    <w:rsid w:val="006D770C"/>
    <w:rsid w:val="006E69A6"/>
    <w:rsid w:val="006F1F09"/>
    <w:rsid w:val="006F2129"/>
    <w:rsid w:val="006F3694"/>
    <w:rsid w:val="006F482D"/>
    <w:rsid w:val="006F7A9E"/>
    <w:rsid w:val="00703EB2"/>
    <w:rsid w:val="007074A6"/>
    <w:rsid w:val="00711233"/>
    <w:rsid w:val="007122B2"/>
    <w:rsid w:val="007127C8"/>
    <w:rsid w:val="00712DC1"/>
    <w:rsid w:val="0071621F"/>
    <w:rsid w:val="007163B8"/>
    <w:rsid w:val="00716928"/>
    <w:rsid w:val="00720ACB"/>
    <w:rsid w:val="00725591"/>
    <w:rsid w:val="00730D3E"/>
    <w:rsid w:val="0073198A"/>
    <w:rsid w:val="007358F1"/>
    <w:rsid w:val="0074621E"/>
    <w:rsid w:val="007532A9"/>
    <w:rsid w:val="00764835"/>
    <w:rsid w:val="007706B4"/>
    <w:rsid w:val="0078244D"/>
    <w:rsid w:val="007827A2"/>
    <w:rsid w:val="007874F4"/>
    <w:rsid w:val="007A441B"/>
    <w:rsid w:val="007B1BBC"/>
    <w:rsid w:val="007B68CD"/>
    <w:rsid w:val="007C44AE"/>
    <w:rsid w:val="007C4B1B"/>
    <w:rsid w:val="007C6B47"/>
    <w:rsid w:val="007C71F6"/>
    <w:rsid w:val="007C7C09"/>
    <w:rsid w:val="007D0A4B"/>
    <w:rsid w:val="007D6CFD"/>
    <w:rsid w:val="007E2E81"/>
    <w:rsid w:val="007E497B"/>
    <w:rsid w:val="007E5631"/>
    <w:rsid w:val="00801FD5"/>
    <w:rsid w:val="00802207"/>
    <w:rsid w:val="00802E41"/>
    <w:rsid w:val="008047DD"/>
    <w:rsid w:val="00813FA5"/>
    <w:rsid w:val="00814022"/>
    <w:rsid w:val="00822509"/>
    <w:rsid w:val="00826EA8"/>
    <w:rsid w:val="00832FCF"/>
    <w:rsid w:val="00835A91"/>
    <w:rsid w:val="00837A0B"/>
    <w:rsid w:val="00842EE6"/>
    <w:rsid w:val="00845728"/>
    <w:rsid w:val="008466BE"/>
    <w:rsid w:val="00860316"/>
    <w:rsid w:val="0087078D"/>
    <w:rsid w:val="00871509"/>
    <w:rsid w:val="00872A2F"/>
    <w:rsid w:val="008806FF"/>
    <w:rsid w:val="008875C5"/>
    <w:rsid w:val="008965DE"/>
    <w:rsid w:val="008A2141"/>
    <w:rsid w:val="008A36CA"/>
    <w:rsid w:val="008C01AD"/>
    <w:rsid w:val="008C5889"/>
    <w:rsid w:val="008D169D"/>
    <w:rsid w:val="008D3BD8"/>
    <w:rsid w:val="008D707D"/>
    <w:rsid w:val="008E0579"/>
    <w:rsid w:val="008E23BA"/>
    <w:rsid w:val="008F2400"/>
    <w:rsid w:val="00900259"/>
    <w:rsid w:val="00907151"/>
    <w:rsid w:val="00921670"/>
    <w:rsid w:val="00921DEB"/>
    <w:rsid w:val="00924487"/>
    <w:rsid w:val="009247CB"/>
    <w:rsid w:val="009306E9"/>
    <w:rsid w:val="00931C89"/>
    <w:rsid w:val="0093698B"/>
    <w:rsid w:val="00951396"/>
    <w:rsid w:val="00952247"/>
    <w:rsid w:val="00956614"/>
    <w:rsid w:val="00962F09"/>
    <w:rsid w:val="009818C3"/>
    <w:rsid w:val="00990EA6"/>
    <w:rsid w:val="00993855"/>
    <w:rsid w:val="0099471A"/>
    <w:rsid w:val="009A0DF6"/>
    <w:rsid w:val="009B034B"/>
    <w:rsid w:val="009B0395"/>
    <w:rsid w:val="009B0D53"/>
    <w:rsid w:val="009B2BC4"/>
    <w:rsid w:val="009C7A24"/>
    <w:rsid w:val="009C86A8"/>
    <w:rsid w:val="009D151F"/>
    <w:rsid w:val="009E3DC3"/>
    <w:rsid w:val="009F7D9E"/>
    <w:rsid w:val="00A03B86"/>
    <w:rsid w:val="00A1329F"/>
    <w:rsid w:val="00A16FE6"/>
    <w:rsid w:val="00A179F2"/>
    <w:rsid w:val="00A26C14"/>
    <w:rsid w:val="00A34F61"/>
    <w:rsid w:val="00A36D48"/>
    <w:rsid w:val="00A47F0E"/>
    <w:rsid w:val="00A50F6C"/>
    <w:rsid w:val="00A51781"/>
    <w:rsid w:val="00A6647D"/>
    <w:rsid w:val="00A6779D"/>
    <w:rsid w:val="00A828E1"/>
    <w:rsid w:val="00A84A81"/>
    <w:rsid w:val="00A84AA8"/>
    <w:rsid w:val="00A84B1F"/>
    <w:rsid w:val="00A869C7"/>
    <w:rsid w:val="00A92C02"/>
    <w:rsid w:val="00AA0890"/>
    <w:rsid w:val="00AA3936"/>
    <w:rsid w:val="00AA6423"/>
    <w:rsid w:val="00AA7721"/>
    <w:rsid w:val="00AB31A1"/>
    <w:rsid w:val="00AB5539"/>
    <w:rsid w:val="00AB7DAE"/>
    <w:rsid w:val="00AD7D18"/>
    <w:rsid w:val="00AE304E"/>
    <w:rsid w:val="00AF1722"/>
    <w:rsid w:val="00AF651D"/>
    <w:rsid w:val="00B0623E"/>
    <w:rsid w:val="00B108DC"/>
    <w:rsid w:val="00B10F8E"/>
    <w:rsid w:val="00B142A6"/>
    <w:rsid w:val="00B15447"/>
    <w:rsid w:val="00B1658F"/>
    <w:rsid w:val="00B30729"/>
    <w:rsid w:val="00B36350"/>
    <w:rsid w:val="00B365B3"/>
    <w:rsid w:val="00B376D2"/>
    <w:rsid w:val="00B405FA"/>
    <w:rsid w:val="00B435F3"/>
    <w:rsid w:val="00B436EE"/>
    <w:rsid w:val="00B6190E"/>
    <w:rsid w:val="00B63524"/>
    <w:rsid w:val="00B73E24"/>
    <w:rsid w:val="00B7646E"/>
    <w:rsid w:val="00B7672C"/>
    <w:rsid w:val="00B8160B"/>
    <w:rsid w:val="00B83AD1"/>
    <w:rsid w:val="00B9350F"/>
    <w:rsid w:val="00BA3B23"/>
    <w:rsid w:val="00BB2831"/>
    <w:rsid w:val="00BB434F"/>
    <w:rsid w:val="00BB6301"/>
    <w:rsid w:val="00BC232C"/>
    <w:rsid w:val="00BC4FBB"/>
    <w:rsid w:val="00BD3F9C"/>
    <w:rsid w:val="00BE520E"/>
    <w:rsid w:val="00BE6BFC"/>
    <w:rsid w:val="00BF2D25"/>
    <w:rsid w:val="00BF46C9"/>
    <w:rsid w:val="00C03F06"/>
    <w:rsid w:val="00C10D6B"/>
    <w:rsid w:val="00C13B7C"/>
    <w:rsid w:val="00C202EA"/>
    <w:rsid w:val="00C21031"/>
    <w:rsid w:val="00C21B7D"/>
    <w:rsid w:val="00C26DCB"/>
    <w:rsid w:val="00C31699"/>
    <w:rsid w:val="00C36931"/>
    <w:rsid w:val="00C37D5D"/>
    <w:rsid w:val="00C4694E"/>
    <w:rsid w:val="00C51C5B"/>
    <w:rsid w:val="00C56D8D"/>
    <w:rsid w:val="00C63DBC"/>
    <w:rsid w:val="00C63FEC"/>
    <w:rsid w:val="00C66B73"/>
    <w:rsid w:val="00C678F5"/>
    <w:rsid w:val="00C70AB5"/>
    <w:rsid w:val="00C72777"/>
    <w:rsid w:val="00CA6CC9"/>
    <w:rsid w:val="00CA7A6B"/>
    <w:rsid w:val="00CA7B06"/>
    <w:rsid w:val="00CB25B5"/>
    <w:rsid w:val="00CB41D9"/>
    <w:rsid w:val="00CC044F"/>
    <w:rsid w:val="00CC4302"/>
    <w:rsid w:val="00CC4EC5"/>
    <w:rsid w:val="00CC7FFA"/>
    <w:rsid w:val="00CD252F"/>
    <w:rsid w:val="00CF3A60"/>
    <w:rsid w:val="00CF5F6F"/>
    <w:rsid w:val="00CF730B"/>
    <w:rsid w:val="00D11B85"/>
    <w:rsid w:val="00D14E01"/>
    <w:rsid w:val="00D22F9D"/>
    <w:rsid w:val="00D3053D"/>
    <w:rsid w:val="00D30CF3"/>
    <w:rsid w:val="00D32A6A"/>
    <w:rsid w:val="00D354E7"/>
    <w:rsid w:val="00D3623A"/>
    <w:rsid w:val="00D36BAD"/>
    <w:rsid w:val="00D4361B"/>
    <w:rsid w:val="00D619D6"/>
    <w:rsid w:val="00D71EE2"/>
    <w:rsid w:val="00D868A0"/>
    <w:rsid w:val="00D87A2A"/>
    <w:rsid w:val="00DA0E65"/>
    <w:rsid w:val="00DA489D"/>
    <w:rsid w:val="00DA71BB"/>
    <w:rsid w:val="00DB5689"/>
    <w:rsid w:val="00DB5D02"/>
    <w:rsid w:val="00DC7A7A"/>
    <w:rsid w:val="00DD54EA"/>
    <w:rsid w:val="00DD5C01"/>
    <w:rsid w:val="00DD7B82"/>
    <w:rsid w:val="00DE15F5"/>
    <w:rsid w:val="00DE3704"/>
    <w:rsid w:val="00DE5E2B"/>
    <w:rsid w:val="00DE7D42"/>
    <w:rsid w:val="00DF375A"/>
    <w:rsid w:val="00DF42E4"/>
    <w:rsid w:val="00DF6880"/>
    <w:rsid w:val="00E05A8A"/>
    <w:rsid w:val="00E14CCE"/>
    <w:rsid w:val="00E1698D"/>
    <w:rsid w:val="00E30226"/>
    <w:rsid w:val="00E37A98"/>
    <w:rsid w:val="00E4660D"/>
    <w:rsid w:val="00E50B0A"/>
    <w:rsid w:val="00E54BB8"/>
    <w:rsid w:val="00E61585"/>
    <w:rsid w:val="00E629E5"/>
    <w:rsid w:val="00E73162"/>
    <w:rsid w:val="00E77BF3"/>
    <w:rsid w:val="00E81D7F"/>
    <w:rsid w:val="00E93599"/>
    <w:rsid w:val="00EC6263"/>
    <w:rsid w:val="00EC6686"/>
    <w:rsid w:val="00ED1E3C"/>
    <w:rsid w:val="00ED2300"/>
    <w:rsid w:val="00ED770C"/>
    <w:rsid w:val="00EE501F"/>
    <w:rsid w:val="00EF1A62"/>
    <w:rsid w:val="00EF95A0"/>
    <w:rsid w:val="00F1306B"/>
    <w:rsid w:val="00F14123"/>
    <w:rsid w:val="00F40492"/>
    <w:rsid w:val="00F621C6"/>
    <w:rsid w:val="00F8311D"/>
    <w:rsid w:val="00F87616"/>
    <w:rsid w:val="00FA00BC"/>
    <w:rsid w:val="00FA0A4E"/>
    <w:rsid w:val="00FB2ADF"/>
    <w:rsid w:val="00FB3A8A"/>
    <w:rsid w:val="00FB5AC9"/>
    <w:rsid w:val="00FC08FA"/>
    <w:rsid w:val="00FD4557"/>
    <w:rsid w:val="00FD7936"/>
    <w:rsid w:val="00FE5959"/>
    <w:rsid w:val="00FF0078"/>
    <w:rsid w:val="00FF40A3"/>
    <w:rsid w:val="00FF717B"/>
    <w:rsid w:val="0120C3CD"/>
    <w:rsid w:val="01757D6D"/>
    <w:rsid w:val="01D6F372"/>
    <w:rsid w:val="02168543"/>
    <w:rsid w:val="0217A3CC"/>
    <w:rsid w:val="0227E676"/>
    <w:rsid w:val="02D92279"/>
    <w:rsid w:val="0303B029"/>
    <w:rsid w:val="0349E654"/>
    <w:rsid w:val="036473DA"/>
    <w:rsid w:val="037DBCDF"/>
    <w:rsid w:val="0400DB42"/>
    <w:rsid w:val="0431FFD5"/>
    <w:rsid w:val="05216792"/>
    <w:rsid w:val="0528675B"/>
    <w:rsid w:val="0560AFE2"/>
    <w:rsid w:val="05D47BDC"/>
    <w:rsid w:val="0694A443"/>
    <w:rsid w:val="06C08B1B"/>
    <w:rsid w:val="070F36AB"/>
    <w:rsid w:val="071B7845"/>
    <w:rsid w:val="074EF843"/>
    <w:rsid w:val="0753BF62"/>
    <w:rsid w:val="081464F2"/>
    <w:rsid w:val="08337CA6"/>
    <w:rsid w:val="08737114"/>
    <w:rsid w:val="08C2F21A"/>
    <w:rsid w:val="08C3587E"/>
    <w:rsid w:val="08C4D8A4"/>
    <w:rsid w:val="08D0EA97"/>
    <w:rsid w:val="090C1669"/>
    <w:rsid w:val="0912D29E"/>
    <w:rsid w:val="093E6D26"/>
    <w:rsid w:val="09AB729E"/>
    <w:rsid w:val="09C3B33B"/>
    <w:rsid w:val="0A330C28"/>
    <w:rsid w:val="0A539FC3"/>
    <w:rsid w:val="0AB6756E"/>
    <w:rsid w:val="0B94685F"/>
    <w:rsid w:val="0BAA3CD8"/>
    <w:rsid w:val="0BB1FB67"/>
    <w:rsid w:val="0BED6F76"/>
    <w:rsid w:val="0C399EB0"/>
    <w:rsid w:val="0C46E4A7"/>
    <w:rsid w:val="0CBEB21C"/>
    <w:rsid w:val="0CCA305F"/>
    <w:rsid w:val="0CF34DFA"/>
    <w:rsid w:val="0D3CF020"/>
    <w:rsid w:val="0D985AA2"/>
    <w:rsid w:val="0E1C4CE4"/>
    <w:rsid w:val="0E3DDDAA"/>
    <w:rsid w:val="0E64949D"/>
    <w:rsid w:val="0E6EE272"/>
    <w:rsid w:val="0EB3A633"/>
    <w:rsid w:val="0F1CCDFA"/>
    <w:rsid w:val="0FA44B0E"/>
    <w:rsid w:val="0FDA53A9"/>
    <w:rsid w:val="10375553"/>
    <w:rsid w:val="104ADF4D"/>
    <w:rsid w:val="1068D82B"/>
    <w:rsid w:val="1069E0C5"/>
    <w:rsid w:val="10A6FF30"/>
    <w:rsid w:val="10AE0B01"/>
    <w:rsid w:val="10BBC728"/>
    <w:rsid w:val="1141DC77"/>
    <w:rsid w:val="114A4637"/>
    <w:rsid w:val="116376C4"/>
    <w:rsid w:val="120E2620"/>
    <w:rsid w:val="12819429"/>
    <w:rsid w:val="131F3A13"/>
    <w:rsid w:val="13330380"/>
    <w:rsid w:val="136D9C75"/>
    <w:rsid w:val="13C2AE18"/>
    <w:rsid w:val="143EDB72"/>
    <w:rsid w:val="14AD2BC6"/>
    <w:rsid w:val="150E9F8E"/>
    <w:rsid w:val="1590FCB5"/>
    <w:rsid w:val="15A18286"/>
    <w:rsid w:val="1608709A"/>
    <w:rsid w:val="16457827"/>
    <w:rsid w:val="16727969"/>
    <w:rsid w:val="16E9C193"/>
    <w:rsid w:val="16EE5E36"/>
    <w:rsid w:val="17691413"/>
    <w:rsid w:val="19431E7B"/>
    <w:rsid w:val="19EC32A0"/>
    <w:rsid w:val="1A016230"/>
    <w:rsid w:val="1A42B4D8"/>
    <w:rsid w:val="1A490D14"/>
    <w:rsid w:val="1A7AB386"/>
    <w:rsid w:val="1A912FA4"/>
    <w:rsid w:val="1AFB1C6D"/>
    <w:rsid w:val="1B2A8FA7"/>
    <w:rsid w:val="1B4107EB"/>
    <w:rsid w:val="1B8BDFB5"/>
    <w:rsid w:val="1BBB3599"/>
    <w:rsid w:val="1BC2A8D7"/>
    <w:rsid w:val="1BDC8346"/>
    <w:rsid w:val="1C06FB78"/>
    <w:rsid w:val="1C370765"/>
    <w:rsid w:val="1CBB71C7"/>
    <w:rsid w:val="1CCF7B75"/>
    <w:rsid w:val="1D255B6B"/>
    <w:rsid w:val="1D575402"/>
    <w:rsid w:val="1DA00763"/>
    <w:rsid w:val="1E4F8F25"/>
    <w:rsid w:val="1E59B72A"/>
    <w:rsid w:val="1E8CCDE7"/>
    <w:rsid w:val="1E9BCF8F"/>
    <w:rsid w:val="1EECA928"/>
    <w:rsid w:val="1EF038F0"/>
    <w:rsid w:val="1EFB9562"/>
    <w:rsid w:val="1F17469E"/>
    <w:rsid w:val="1F3D2C75"/>
    <w:rsid w:val="1F933E40"/>
    <w:rsid w:val="1FBBA915"/>
    <w:rsid w:val="20725438"/>
    <w:rsid w:val="20C768C5"/>
    <w:rsid w:val="20D394B2"/>
    <w:rsid w:val="21645B1D"/>
    <w:rsid w:val="21CA1F12"/>
    <w:rsid w:val="21FF2ECF"/>
    <w:rsid w:val="2241E206"/>
    <w:rsid w:val="22594403"/>
    <w:rsid w:val="230084E4"/>
    <w:rsid w:val="2360122F"/>
    <w:rsid w:val="23C76D7F"/>
    <w:rsid w:val="23E80F18"/>
    <w:rsid w:val="2419B634"/>
    <w:rsid w:val="246875C8"/>
    <w:rsid w:val="247378A5"/>
    <w:rsid w:val="248FD2D4"/>
    <w:rsid w:val="24B78854"/>
    <w:rsid w:val="24BFEF42"/>
    <w:rsid w:val="24DC0426"/>
    <w:rsid w:val="25094C10"/>
    <w:rsid w:val="25245645"/>
    <w:rsid w:val="254DC359"/>
    <w:rsid w:val="2551938E"/>
    <w:rsid w:val="2561001F"/>
    <w:rsid w:val="256E0E74"/>
    <w:rsid w:val="25EEE147"/>
    <w:rsid w:val="26001533"/>
    <w:rsid w:val="2619CF48"/>
    <w:rsid w:val="269F5877"/>
    <w:rsid w:val="26C6235F"/>
    <w:rsid w:val="28747B24"/>
    <w:rsid w:val="2896CC1B"/>
    <w:rsid w:val="28A4B532"/>
    <w:rsid w:val="28C8100B"/>
    <w:rsid w:val="28D582E0"/>
    <w:rsid w:val="28EDD064"/>
    <w:rsid w:val="29175BA6"/>
    <w:rsid w:val="29DB7E2E"/>
    <w:rsid w:val="29F4940B"/>
    <w:rsid w:val="2BA05438"/>
    <w:rsid w:val="2BA6526A"/>
    <w:rsid w:val="2C15B496"/>
    <w:rsid w:val="2C68611C"/>
    <w:rsid w:val="2CEA152A"/>
    <w:rsid w:val="2CF33E3A"/>
    <w:rsid w:val="2D0F59C2"/>
    <w:rsid w:val="2E2F5BC5"/>
    <w:rsid w:val="2E65FC96"/>
    <w:rsid w:val="2E7022D4"/>
    <w:rsid w:val="2E705F9E"/>
    <w:rsid w:val="2E994EF5"/>
    <w:rsid w:val="2EC1028C"/>
    <w:rsid w:val="2EE3CC81"/>
    <w:rsid w:val="2F32B51F"/>
    <w:rsid w:val="2FAB4002"/>
    <w:rsid w:val="3021CE89"/>
    <w:rsid w:val="30474E1C"/>
    <w:rsid w:val="3085866A"/>
    <w:rsid w:val="30EF7770"/>
    <w:rsid w:val="3123DAE9"/>
    <w:rsid w:val="31603E43"/>
    <w:rsid w:val="3186EF81"/>
    <w:rsid w:val="31D8D9F4"/>
    <w:rsid w:val="32116C41"/>
    <w:rsid w:val="322ED650"/>
    <w:rsid w:val="325E7C98"/>
    <w:rsid w:val="32D79C72"/>
    <w:rsid w:val="32F6D2D3"/>
    <w:rsid w:val="3323B4B9"/>
    <w:rsid w:val="334BB9F9"/>
    <w:rsid w:val="335F9AC9"/>
    <w:rsid w:val="3375532B"/>
    <w:rsid w:val="33A3C0E0"/>
    <w:rsid w:val="33AE056B"/>
    <w:rsid w:val="33B871DC"/>
    <w:rsid w:val="33EE7A09"/>
    <w:rsid w:val="34BC4A89"/>
    <w:rsid w:val="34C27BD4"/>
    <w:rsid w:val="34D172F3"/>
    <w:rsid w:val="35690969"/>
    <w:rsid w:val="357BF33B"/>
    <w:rsid w:val="3640DF93"/>
    <w:rsid w:val="365FD3A4"/>
    <w:rsid w:val="371C8406"/>
    <w:rsid w:val="3751A236"/>
    <w:rsid w:val="37595279"/>
    <w:rsid w:val="377A5270"/>
    <w:rsid w:val="37B9B046"/>
    <w:rsid w:val="38079E59"/>
    <w:rsid w:val="398B8594"/>
    <w:rsid w:val="399FA876"/>
    <w:rsid w:val="3A9AEA6F"/>
    <w:rsid w:val="3AAAA064"/>
    <w:rsid w:val="3ABC1741"/>
    <w:rsid w:val="3AC03B84"/>
    <w:rsid w:val="3B495329"/>
    <w:rsid w:val="3C947C95"/>
    <w:rsid w:val="3D0C73FD"/>
    <w:rsid w:val="3D5AE777"/>
    <w:rsid w:val="3D66FC3D"/>
    <w:rsid w:val="3D6AC9DB"/>
    <w:rsid w:val="3D6D1676"/>
    <w:rsid w:val="3D76B232"/>
    <w:rsid w:val="3D820779"/>
    <w:rsid w:val="3D8D9D31"/>
    <w:rsid w:val="3E012CD7"/>
    <w:rsid w:val="3F0B3F57"/>
    <w:rsid w:val="3F8ED2DE"/>
    <w:rsid w:val="3F94C2B1"/>
    <w:rsid w:val="3FC63B37"/>
    <w:rsid w:val="4017B5E4"/>
    <w:rsid w:val="409B58F8"/>
    <w:rsid w:val="40BBEE51"/>
    <w:rsid w:val="41CF103D"/>
    <w:rsid w:val="41DCF6FB"/>
    <w:rsid w:val="4202CFED"/>
    <w:rsid w:val="42410BD7"/>
    <w:rsid w:val="426762E0"/>
    <w:rsid w:val="43174F0C"/>
    <w:rsid w:val="431B0D89"/>
    <w:rsid w:val="43694751"/>
    <w:rsid w:val="43E00A4D"/>
    <w:rsid w:val="443C2BD1"/>
    <w:rsid w:val="446B1E7C"/>
    <w:rsid w:val="4483ABCA"/>
    <w:rsid w:val="4597869F"/>
    <w:rsid w:val="45E283E6"/>
    <w:rsid w:val="4680E87B"/>
    <w:rsid w:val="471183AA"/>
    <w:rsid w:val="474E5645"/>
    <w:rsid w:val="47F4A5C0"/>
    <w:rsid w:val="4832281F"/>
    <w:rsid w:val="48591825"/>
    <w:rsid w:val="4872943F"/>
    <w:rsid w:val="48B0ED99"/>
    <w:rsid w:val="492CA819"/>
    <w:rsid w:val="49436B72"/>
    <w:rsid w:val="4999927F"/>
    <w:rsid w:val="49E1BF3B"/>
    <w:rsid w:val="4A435ECE"/>
    <w:rsid w:val="4AFF1245"/>
    <w:rsid w:val="4B0D8EAE"/>
    <w:rsid w:val="4B26175D"/>
    <w:rsid w:val="4B2A7D43"/>
    <w:rsid w:val="4B5DD77B"/>
    <w:rsid w:val="4B903080"/>
    <w:rsid w:val="4BFF0A78"/>
    <w:rsid w:val="4C1B7305"/>
    <w:rsid w:val="4C291655"/>
    <w:rsid w:val="4C680B81"/>
    <w:rsid w:val="4C7787E4"/>
    <w:rsid w:val="4CF2FE03"/>
    <w:rsid w:val="4CF8B8E7"/>
    <w:rsid w:val="4DA0C621"/>
    <w:rsid w:val="4EDCEF32"/>
    <w:rsid w:val="4EDDC190"/>
    <w:rsid w:val="4F2C92B1"/>
    <w:rsid w:val="4F383DE4"/>
    <w:rsid w:val="4F9DEF5E"/>
    <w:rsid w:val="50C79BBD"/>
    <w:rsid w:val="50E76D77"/>
    <w:rsid w:val="510E2537"/>
    <w:rsid w:val="511B7271"/>
    <w:rsid w:val="512C2F85"/>
    <w:rsid w:val="5156F64D"/>
    <w:rsid w:val="51B127A3"/>
    <w:rsid w:val="51BDCCC1"/>
    <w:rsid w:val="51DFC977"/>
    <w:rsid w:val="51F39742"/>
    <w:rsid w:val="525ECF3F"/>
    <w:rsid w:val="531F9D5F"/>
    <w:rsid w:val="5326C651"/>
    <w:rsid w:val="537A4FD5"/>
    <w:rsid w:val="537AB53F"/>
    <w:rsid w:val="53A609E7"/>
    <w:rsid w:val="53C06591"/>
    <w:rsid w:val="5486FB5D"/>
    <w:rsid w:val="5498F15A"/>
    <w:rsid w:val="54EEFCB9"/>
    <w:rsid w:val="55566595"/>
    <w:rsid w:val="555E2142"/>
    <w:rsid w:val="55738152"/>
    <w:rsid w:val="55BE0907"/>
    <w:rsid w:val="562DC0AF"/>
    <w:rsid w:val="563B2DD7"/>
    <w:rsid w:val="5655A187"/>
    <w:rsid w:val="56DC7A0C"/>
    <w:rsid w:val="570F4E3F"/>
    <w:rsid w:val="57153A4A"/>
    <w:rsid w:val="579365ED"/>
    <w:rsid w:val="57965F03"/>
    <w:rsid w:val="579BCD6F"/>
    <w:rsid w:val="57D17C4A"/>
    <w:rsid w:val="58613FD4"/>
    <w:rsid w:val="58A6C75E"/>
    <w:rsid w:val="58DAF060"/>
    <w:rsid w:val="59423015"/>
    <w:rsid w:val="59486D83"/>
    <w:rsid w:val="5A9F741C"/>
    <w:rsid w:val="5ADFC155"/>
    <w:rsid w:val="5B7AE19F"/>
    <w:rsid w:val="5B957D8B"/>
    <w:rsid w:val="5BCCF7B3"/>
    <w:rsid w:val="5C0474B6"/>
    <w:rsid w:val="5C88BAF9"/>
    <w:rsid w:val="5CB5D03B"/>
    <w:rsid w:val="5CD0D32C"/>
    <w:rsid w:val="5D339BE2"/>
    <w:rsid w:val="5D474EC8"/>
    <w:rsid w:val="5D7DB0B4"/>
    <w:rsid w:val="5DFFB3FD"/>
    <w:rsid w:val="5E954ADC"/>
    <w:rsid w:val="5EB83244"/>
    <w:rsid w:val="5ECEFEEA"/>
    <w:rsid w:val="5EF73F65"/>
    <w:rsid w:val="5F2FDEAF"/>
    <w:rsid w:val="5F307FEC"/>
    <w:rsid w:val="5FCB3CB7"/>
    <w:rsid w:val="5FD182D0"/>
    <w:rsid w:val="605D24D9"/>
    <w:rsid w:val="6083170E"/>
    <w:rsid w:val="609229B9"/>
    <w:rsid w:val="60E0AC1A"/>
    <w:rsid w:val="610CDECB"/>
    <w:rsid w:val="61754530"/>
    <w:rsid w:val="62457C41"/>
    <w:rsid w:val="62E92B78"/>
    <w:rsid w:val="6311C411"/>
    <w:rsid w:val="6381E3DE"/>
    <w:rsid w:val="645738B4"/>
    <w:rsid w:val="648D124B"/>
    <w:rsid w:val="649243A1"/>
    <w:rsid w:val="64FC9CA0"/>
    <w:rsid w:val="6500BAFD"/>
    <w:rsid w:val="65CB746C"/>
    <w:rsid w:val="6631062F"/>
    <w:rsid w:val="663AC556"/>
    <w:rsid w:val="668DE6B8"/>
    <w:rsid w:val="66E1B7FD"/>
    <w:rsid w:val="67485C88"/>
    <w:rsid w:val="67540AD6"/>
    <w:rsid w:val="67D6225B"/>
    <w:rsid w:val="6821C680"/>
    <w:rsid w:val="68E4F0DE"/>
    <w:rsid w:val="69413F54"/>
    <w:rsid w:val="6975E643"/>
    <w:rsid w:val="698E39A4"/>
    <w:rsid w:val="699FFD70"/>
    <w:rsid w:val="69F30E83"/>
    <w:rsid w:val="6A257301"/>
    <w:rsid w:val="6A72DC1B"/>
    <w:rsid w:val="6ABF941B"/>
    <w:rsid w:val="6B097D44"/>
    <w:rsid w:val="6B2DA186"/>
    <w:rsid w:val="6B495863"/>
    <w:rsid w:val="6C35823F"/>
    <w:rsid w:val="6C61C9F7"/>
    <w:rsid w:val="6C748FED"/>
    <w:rsid w:val="6D4BEFD4"/>
    <w:rsid w:val="6D601FC1"/>
    <w:rsid w:val="6E229E9B"/>
    <w:rsid w:val="6E988672"/>
    <w:rsid w:val="6E9B04A8"/>
    <w:rsid w:val="6EF4E9ED"/>
    <w:rsid w:val="6F5CBE1E"/>
    <w:rsid w:val="6F82749F"/>
    <w:rsid w:val="6FB3E1EE"/>
    <w:rsid w:val="702CD4E1"/>
    <w:rsid w:val="708AA83F"/>
    <w:rsid w:val="70C41E7D"/>
    <w:rsid w:val="70D1D4BC"/>
    <w:rsid w:val="71226F8F"/>
    <w:rsid w:val="717EDDF4"/>
    <w:rsid w:val="72167D19"/>
    <w:rsid w:val="72365797"/>
    <w:rsid w:val="7240ED6B"/>
    <w:rsid w:val="7253B6B9"/>
    <w:rsid w:val="72D56E48"/>
    <w:rsid w:val="72D67632"/>
    <w:rsid w:val="7303791F"/>
    <w:rsid w:val="731D1C33"/>
    <w:rsid w:val="748CAAE9"/>
    <w:rsid w:val="749A9B8C"/>
    <w:rsid w:val="749AEC62"/>
    <w:rsid w:val="7509C76D"/>
    <w:rsid w:val="75836614"/>
    <w:rsid w:val="75842728"/>
    <w:rsid w:val="7599310A"/>
    <w:rsid w:val="760BA71F"/>
    <w:rsid w:val="766E22EE"/>
    <w:rsid w:val="76780E32"/>
    <w:rsid w:val="7686BC0D"/>
    <w:rsid w:val="7711EF0D"/>
    <w:rsid w:val="771813F5"/>
    <w:rsid w:val="777B175D"/>
    <w:rsid w:val="7783948C"/>
    <w:rsid w:val="77C13081"/>
    <w:rsid w:val="7804DA45"/>
    <w:rsid w:val="78072EA4"/>
    <w:rsid w:val="78199199"/>
    <w:rsid w:val="78C12C49"/>
    <w:rsid w:val="78F64A17"/>
    <w:rsid w:val="79767BCF"/>
    <w:rsid w:val="7AA26EDC"/>
    <w:rsid w:val="7AA5420E"/>
    <w:rsid w:val="7AD7E1CD"/>
    <w:rsid w:val="7B1A6502"/>
    <w:rsid w:val="7BB0B02C"/>
    <w:rsid w:val="7BE98EF5"/>
    <w:rsid w:val="7C67250B"/>
    <w:rsid w:val="7CA0E760"/>
    <w:rsid w:val="7CAF3370"/>
    <w:rsid w:val="7D88AC3C"/>
    <w:rsid w:val="7E2875CC"/>
    <w:rsid w:val="7E376D09"/>
    <w:rsid w:val="7E8F1401"/>
    <w:rsid w:val="7E93836F"/>
    <w:rsid w:val="7EAB4E46"/>
    <w:rsid w:val="7EAB9B2A"/>
    <w:rsid w:val="7F2E7374"/>
    <w:rsid w:val="7F601022"/>
    <w:rsid w:val="7FA0C05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978B58"/>
  <w15:docId w15:val="{51170F78-C26E-45A4-A0DE-DAFAC312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de-DE"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widowControl w:val="0"/>
      <w:spacing w:before="480" w:line="312" w:lineRule="auto"/>
      <w:outlineLvl w:val="0"/>
    </w:pPr>
    <w:rPr>
      <w:rFonts w:ascii="PT Sans Narrow" w:eastAsia="PT Sans Narrow" w:hAnsi="PT Sans Narrow" w:cs="PT Sans Narrow"/>
      <w:b/>
      <w:color w:val="980000"/>
      <w:sz w:val="36"/>
      <w:szCs w:val="36"/>
    </w:rPr>
  </w:style>
  <w:style w:type="paragraph" w:styleId="Heading2">
    <w:name w:val="heading 2"/>
    <w:basedOn w:val="Normal"/>
    <w:next w:val="Normal"/>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pPr>
      <w:spacing w:before="200" w:line="240" w:lineRule="auto"/>
      <w:outlineLvl w:val="2"/>
    </w:pPr>
    <w:rPr>
      <w:rFonts w:ascii="PT Sans Narrow" w:eastAsia="PT Sans Narrow" w:hAnsi="PT Sans Narrow" w:cs="PT Sans Narrow"/>
      <w:sz w:val="28"/>
      <w:szCs w:val="28"/>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pPr>
      <w:spacing w:before="200" w:line="240" w:lineRule="auto"/>
    </w:pPr>
    <w:rPr>
      <w:rFonts w:ascii="PT Sans Narrow" w:eastAsia="PT Sans Narrow" w:hAnsi="PT Sans Narrow" w:cs="PT Sans Narrow"/>
      <w:sz w:val="28"/>
      <w:szCs w:val="2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47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7D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047DD"/>
    <w:rPr>
      <w:b/>
      <w:bCs/>
    </w:rPr>
  </w:style>
  <w:style w:type="character" w:customStyle="1" w:styleId="CommentSubjectChar">
    <w:name w:val="Comment Subject Char"/>
    <w:basedOn w:val="CommentTextChar"/>
    <w:link w:val="CommentSubject"/>
    <w:uiPriority w:val="99"/>
    <w:semiHidden/>
    <w:rsid w:val="008047DD"/>
    <w:rPr>
      <w:b/>
      <w:bCs/>
      <w:sz w:val="20"/>
      <w:szCs w:val="20"/>
    </w:rPr>
  </w:style>
  <w:style w:type="paragraph" w:styleId="Revision">
    <w:name w:val="Revision"/>
    <w:hidden/>
    <w:uiPriority w:val="99"/>
    <w:semiHidden/>
    <w:rsid w:val="00181D55"/>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customStyle="1" w:styleId="Considrant">
    <w:name w:val="Considérant"/>
    <w:basedOn w:val="Normal"/>
    <w:rsid w:val="00DB5D02"/>
    <w:pPr>
      <w:numPr>
        <w:numId w:val="5"/>
      </w:numPr>
      <w:pBdr>
        <w:top w:val="none" w:sz="0" w:space="0" w:color="auto"/>
        <w:left w:val="none" w:sz="0" w:space="0" w:color="auto"/>
        <w:bottom w:val="none" w:sz="0" w:space="0" w:color="auto"/>
        <w:right w:val="none" w:sz="0" w:space="0" w:color="auto"/>
        <w:between w:val="none" w:sz="0" w:space="0" w:color="auto"/>
      </w:pBdr>
      <w:spacing w:before="120" w:after="120" w:line="240" w:lineRule="auto"/>
      <w:jc w:val="both"/>
    </w:pPr>
    <w:rPr>
      <w:rFonts w:eastAsia="Times New Roman" w:cs="Times New Roman"/>
      <w:color w:val="auto"/>
      <w:sz w:val="20"/>
      <w:szCs w:val="24"/>
      <w:lang w:val="en-GB"/>
    </w:rPr>
  </w:style>
  <w:style w:type="paragraph" w:styleId="ListBullet">
    <w:name w:val="List Bullet"/>
    <w:basedOn w:val="Normal"/>
    <w:autoRedefine/>
    <w:rsid w:val="00AA3936"/>
    <w:pPr>
      <w:numPr>
        <w:numId w:val="7"/>
      </w:numPr>
      <w:pBdr>
        <w:top w:val="none" w:sz="0" w:space="0" w:color="auto"/>
        <w:left w:val="none" w:sz="0" w:space="0" w:color="auto"/>
        <w:bottom w:val="none" w:sz="0" w:space="0" w:color="auto"/>
        <w:right w:val="none" w:sz="0" w:space="0" w:color="auto"/>
        <w:between w:val="none" w:sz="0" w:space="0" w:color="auto"/>
      </w:pBdr>
      <w:spacing w:line="240" w:lineRule="auto"/>
      <w:jc w:val="both"/>
    </w:pPr>
    <w:rPr>
      <w:rFonts w:eastAsia="Times New Roman"/>
      <w:color w:val="auto"/>
      <w:lang w:val="en-GB" w:eastAsia="en-US"/>
    </w:rPr>
  </w:style>
  <w:style w:type="character" w:styleId="Hyperlink">
    <w:name w:val="Hyperlink"/>
    <w:basedOn w:val="DefaultParagraphFont"/>
    <w:uiPriority w:val="99"/>
    <w:unhideWhenUsed/>
    <w:rsid w:val="00404A0C"/>
    <w:rPr>
      <w:color w:val="0000FF" w:themeColor="hyperlink"/>
      <w:u w:val="single"/>
    </w:rPr>
  </w:style>
  <w:style w:type="character" w:styleId="UnresolvedMention">
    <w:name w:val="Unresolved Mention"/>
    <w:basedOn w:val="DefaultParagraphFont"/>
    <w:uiPriority w:val="99"/>
    <w:semiHidden/>
    <w:unhideWhenUsed/>
    <w:rsid w:val="00404A0C"/>
    <w:rPr>
      <w:color w:val="605E5C"/>
      <w:shd w:val="clear" w:color="auto" w:fill="E1DFDD"/>
    </w:rPr>
  </w:style>
  <w:style w:type="paragraph" w:styleId="ListParagraph">
    <w:name w:val="List Paragraph"/>
    <w:basedOn w:val="Normal"/>
    <w:uiPriority w:val="34"/>
    <w:qFormat/>
    <w:rsid w:val="00DF42E4"/>
    <w:pPr>
      <w:ind w:left="720"/>
      <w:contextualSpacing/>
    </w:pPr>
  </w:style>
  <w:style w:type="paragraph" w:styleId="Header">
    <w:name w:val="header"/>
    <w:basedOn w:val="Normal"/>
    <w:link w:val="HeaderChar"/>
    <w:uiPriority w:val="99"/>
    <w:unhideWhenUsed/>
    <w:rsid w:val="001F56BF"/>
    <w:pPr>
      <w:tabs>
        <w:tab w:val="center" w:pos="4513"/>
        <w:tab w:val="right" w:pos="9026"/>
      </w:tabs>
      <w:spacing w:line="240" w:lineRule="auto"/>
    </w:pPr>
  </w:style>
  <w:style w:type="character" w:customStyle="1" w:styleId="HeaderChar">
    <w:name w:val="Header Char"/>
    <w:basedOn w:val="DefaultParagraphFont"/>
    <w:link w:val="Header"/>
    <w:uiPriority w:val="99"/>
    <w:rsid w:val="001F56BF"/>
  </w:style>
  <w:style w:type="paragraph" w:styleId="Footer">
    <w:name w:val="footer"/>
    <w:basedOn w:val="Normal"/>
    <w:link w:val="FooterChar"/>
    <w:uiPriority w:val="99"/>
    <w:unhideWhenUsed/>
    <w:rsid w:val="001F56BF"/>
    <w:pPr>
      <w:tabs>
        <w:tab w:val="center" w:pos="4513"/>
        <w:tab w:val="right" w:pos="9026"/>
      </w:tabs>
      <w:spacing w:line="240" w:lineRule="auto"/>
    </w:pPr>
  </w:style>
  <w:style w:type="character" w:customStyle="1" w:styleId="FooterChar">
    <w:name w:val="Footer Char"/>
    <w:basedOn w:val="DefaultParagraphFont"/>
    <w:link w:val="Footer"/>
    <w:uiPriority w:val="99"/>
    <w:rsid w:val="001F56BF"/>
  </w:style>
  <w:style w:type="paragraph" w:styleId="FootnoteText">
    <w:name w:val="footnote text"/>
    <w:basedOn w:val="Normal"/>
    <w:link w:val="FootnoteTextChar"/>
    <w:uiPriority w:val="99"/>
    <w:semiHidden/>
    <w:unhideWhenUsed/>
    <w:rsid w:val="004E3E7B"/>
    <w:pPr>
      <w:spacing w:line="240" w:lineRule="auto"/>
    </w:pPr>
    <w:rPr>
      <w:sz w:val="20"/>
      <w:szCs w:val="20"/>
    </w:rPr>
  </w:style>
  <w:style w:type="character" w:customStyle="1" w:styleId="FootnoteTextChar">
    <w:name w:val="Footnote Text Char"/>
    <w:basedOn w:val="DefaultParagraphFont"/>
    <w:link w:val="FootnoteText"/>
    <w:uiPriority w:val="99"/>
    <w:semiHidden/>
    <w:rsid w:val="004E3E7B"/>
    <w:rPr>
      <w:sz w:val="20"/>
      <w:szCs w:val="20"/>
    </w:rPr>
  </w:style>
  <w:style w:type="character" w:styleId="FootnoteReference">
    <w:name w:val="footnote reference"/>
    <w:basedOn w:val="DefaultParagraphFont"/>
    <w:uiPriority w:val="99"/>
    <w:semiHidden/>
    <w:unhideWhenUsed/>
    <w:rsid w:val="004E3E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246308">
      <w:bodyDiv w:val="1"/>
      <w:marLeft w:val="0"/>
      <w:marRight w:val="0"/>
      <w:marTop w:val="0"/>
      <w:marBottom w:val="0"/>
      <w:divBdr>
        <w:top w:val="none" w:sz="0" w:space="0" w:color="auto"/>
        <w:left w:val="none" w:sz="0" w:space="0" w:color="auto"/>
        <w:bottom w:val="none" w:sz="0" w:space="0" w:color="auto"/>
        <w:right w:val="none" w:sz="0" w:space="0" w:color="auto"/>
      </w:divBdr>
      <w:divsChild>
        <w:div w:id="1299266862">
          <w:marLeft w:val="0"/>
          <w:marRight w:val="0"/>
          <w:marTop w:val="0"/>
          <w:marBottom w:val="0"/>
          <w:divBdr>
            <w:top w:val="none" w:sz="0" w:space="0" w:color="auto"/>
            <w:left w:val="none" w:sz="0" w:space="0" w:color="auto"/>
            <w:bottom w:val="none" w:sz="0" w:space="0" w:color="auto"/>
            <w:right w:val="none" w:sz="0" w:space="0" w:color="auto"/>
          </w:divBdr>
        </w:div>
      </w:divsChild>
    </w:div>
    <w:div w:id="746727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herestandard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hdinitiative.org/ghd/gns/principles-good-practice-of-ghd/principles-good-practice-ghd.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nual.forecast-based-financing.org/chapter/set-the-trigger/" TargetMode="External"/><Relationship Id="rId5" Type="http://schemas.openxmlformats.org/officeDocument/2006/relationships/numbering" Target="numbering.xml"/><Relationship Id="rId15" Type="http://schemas.openxmlformats.org/officeDocument/2006/relationships/hyperlink" Target="https://media.ifrc.org/ifrc/wp-content/uploads/sites/5/2018/11/Minimum-standards-for-protection-gender-and-inclusion-in-emergencies-LR.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vestock-emergency.net/download-leg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a6ff249-84cd-4e98-87b6-f455e6b81eab">
      <UserInfo>
        <DisplayName>Yuve GULUMA</DisplayName>
        <AccountId>3259</AccountId>
        <AccountType/>
      </UserInfo>
    </SharedWithUsers>
    <TaxCatchAll xmlns="fa6ff249-84cd-4e98-87b6-f455e6b81eab" xsi:nil="true"/>
    <lcf76f155ced4ddcb4097134ff3c332f xmlns="026bfad4-81b3-43f4-884f-8fb15cc6b6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BDDFF49513A42B7712415F1899E97" ma:contentTypeVersion="18" ma:contentTypeDescription="Create a new document." ma:contentTypeScope="" ma:versionID="825a8b818d6b56c22c0f732fb707b385">
  <xsd:schema xmlns:xsd="http://www.w3.org/2001/XMLSchema" xmlns:xs="http://www.w3.org/2001/XMLSchema" xmlns:p="http://schemas.microsoft.com/office/2006/metadata/properties" xmlns:ns1="http://schemas.microsoft.com/sharepoint/v3" xmlns:ns2="fa6ff249-84cd-4e98-87b6-f455e6b81eab" xmlns:ns3="026bfad4-81b3-43f4-884f-8fb15cc6b6b0" targetNamespace="http://schemas.microsoft.com/office/2006/metadata/properties" ma:root="true" ma:fieldsID="cab235f2305da9da124aef3bc6ee46df" ns1:_="" ns2:_="" ns3:_="">
    <xsd:import namespace="http://schemas.microsoft.com/sharepoint/v3"/>
    <xsd:import namespace="fa6ff249-84cd-4e98-87b6-f455e6b81eab"/>
    <xsd:import namespace="026bfad4-81b3-43f4-884f-8fb15cc6b6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ff249-84cd-4e98-87b6-f455e6b81e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eb49f5d1-8432-40f7-9fd8-f830a41cf53e}" ma:internalName="TaxCatchAll" ma:showField="CatchAllData" ma:web="fa6ff249-84cd-4e98-87b6-f455e6b81e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bfad4-81b3-43f4-884f-8fb15cc6b6b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ACCA9-E221-428A-B471-742F13CF4541}">
  <ds:schemaRefs>
    <ds:schemaRef ds:uri="http://schemas.microsoft.com/sharepoint/v3/contenttype/forms"/>
  </ds:schemaRefs>
</ds:datastoreItem>
</file>

<file path=customXml/itemProps2.xml><?xml version="1.0" encoding="utf-8"?>
<ds:datastoreItem xmlns:ds="http://schemas.openxmlformats.org/officeDocument/2006/customXml" ds:itemID="{AC81BA5B-E0B3-4888-B169-A2AB91968A0C}">
  <ds:schemaRefs>
    <ds:schemaRef ds:uri="http://schemas.microsoft.com/office/2006/metadata/properties"/>
    <ds:schemaRef ds:uri="http://schemas.microsoft.com/office/infopath/2007/PartnerControls"/>
    <ds:schemaRef ds:uri="http://schemas.microsoft.com/sharepoint/v3"/>
    <ds:schemaRef ds:uri="fa6ff249-84cd-4e98-87b6-f455e6b81eab"/>
    <ds:schemaRef ds:uri="026bfad4-81b3-43f4-884f-8fb15cc6b6b0"/>
  </ds:schemaRefs>
</ds:datastoreItem>
</file>

<file path=customXml/itemProps3.xml><?xml version="1.0" encoding="utf-8"?>
<ds:datastoreItem xmlns:ds="http://schemas.openxmlformats.org/officeDocument/2006/customXml" ds:itemID="{7D70EC0D-D436-43F7-9A89-AAC9B4FDE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6ff249-84cd-4e98-87b6-f455e6b81eab"/>
    <ds:schemaRef ds:uri="026bfad4-81b3-43f4-884f-8fb15cc6b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F8DDB-6A5C-4D40-AE5F-B96928F4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2705</Words>
  <Characters>15424</Characters>
  <Application>Microsoft Office Word</Application>
  <DocSecurity>0</DocSecurity>
  <Lines>128</Lines>
  <Paragraphs>36</Paragraphs>
  <ScaleCrop>false</ScaleCrop>
  <Company>DRK</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LuxS</dc:creator>
  <cp:keywords/>
  <cp:lastModifiedBy>Melanie Ogle</cp:lastModifiedBy>
  <cp:revision>16</cp:revision>
  <dcterms:created xsi:type="dcterms:W3CDTF">2022-05-16T15:36:00Z</dcterms:created>
  <dcterms:modified xsi:type="dcterms:W3CDTF">2022-09-26T07:31:00Z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0x010100FC7BDDFF49513A42B7712415F1899E97</vt:lpwstr>
  </property>
  <property fmtid="{D5CDD505-2E9C-101B-9397-08002B2CF9AE}" pid="3" name="AuthorIds_UIVersion_2048">
    <vt:lpwstr>198</vt:lpwstr>
  </property>
  <property fmtid="{D5CDD505-2E9C-101B-9397-08002B2CF9AE}" pid="4" name="MSIP_Label_caf3f7fd-5cd4-4287-9002-aceb9af13c42_Enabled">
    <vt:lpwstr>true</vt:lpwstr>
  </property>
  <property fmtid="{D5CDD505-2E9C-101B-9397-08002B2CF9AE}" pid="5" name="MSIP_Label_caf3f7fd-5cd4-4287-9002-aceb9af13c42_SetDate">
    <vt:lpwstr>2022-05-16T15:36:39Z</vt:lpwstr>
  </property>
  <property fmtid="{D5CDD505-2E9C-101B-9397-08002B2CF9AE}" pid="6" name="MSIP_Label_caf3f7fd-5cd4-4287-9002-aceb9af13c42_Method">
    <vt:lpwstr>Privileged</vt:lpwstr>
  </property>
  <property fmtid="{D5CDD505-2E9C-101B-9397-08002B2CF9AE}" pid="7" name="MSIP_Label_caf3f7fd-5cd4-4287-9002-aceb9af13c42_Name">
    <vt:lpwstr>Public</vt:lpwstr>
  </property>
  <property fmtid="{D5CDD505-2E9C-101B-9397-08002B2CF9AE}" pid="8" name="MSIP_Label_caf3f7fd-5cd4-4287-9002-aceb9af13c42_SiteId">
    <vt:lpwstr>a2b53be5-734e-4e6c-ab0d-d184f60fd917</vt:lpwstr>
  </property>
  <property fmtid="{D5CDD505-2E9C-101B-9397-08002B2CF9AE}" pid="9" name="MSIP_Label_caf3f7fd-5cd4-4287-9002-aceb9af13c42_ActionId">
    <vt:lpwstr>5570c2a0-e7ff-4ba5-b938-0171406a1cfd</vt:lpwstr>
  </property>
  <property fmtid="{D5CDD505-2E9C-101B-9397-08002B2CF9AE}" pid="10" name="MSIP_Label_caf3f7fd-5cd4-4287-9002-aceb9af13c42_ContentBits">
    <vt:lpwstr>2</vt:lpwstr>
  </property>
  <property fmtid="{D5CDD505-2E9C-101B-9397-08002B2CF9AE}" pid="11" name="MediaServiceImageTags">
    <vt:lpwstr/>
  </property>
</Properties>
</file>